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D2" w:rsidRPr="007B6C7A" w:rsidRDefault="007B6C7A">
      <w:pPr>
        <w:rPr>
          <w:b/>
          <w:color w:val="948A54" w:themeColor="background2" w:themeShade="80"/>
          <w:sz w:val="24"/>
          <w:szCs w:val="24"/>
        </w:rPr>
      </w:pPr>
      <w:r w:rsidRPr="007B6C7A">
        <w:rPr>
          <w:b/>
          <w:color w:val="948A54" w:themeColor="background2" w:themeShade="80"/>
          <w:sz w:val="24"/>
          <w:szCs w:val="24"/>
        </w:rPr>
        <w:t xml:space="preserve">Academic Performance at St </w:t>
      </w:r>
      <w:proofErr w:type="spellStart"/>
      <w:r w:rsidRPr="007B6C7A">
        <w:rPr>
          <w:b/>
          <w:color w:val="948A54" w:themeColor="background2" w:themeShade="80"/>
          <w:sz w:val="24"/>
          <w:szCs w:val="24"/>
        </w:rPr>
        <w:t>Minver</w:t>
      </w:r>
      <w:proofErr w:type="spellEnd"/>
      <w:r w:rsidRPr="007B6C7A">
        <w:rPr>
          <w:b/>
          <w:color w:val="948A54" w:themeColor="background2" w:themeShade="80"/>
          <w:sz w:val="24"/>
          <w:szCs w:val="24"/>
        </w:rPr>
        <w:t xml:space="preserve"> 2015</w:t>
      </w:r>
    </w:p>
    <w:p w:rsidR="007B6C7A" w:rsidRPr="007B6C7A" w:rsidRDefault="007B6C7A">
      <w:pPr>
        <w:rPr>
          <w:color w:val="948A54" w:themeColor="background2" w:themeShade="80"/>
        </w:rPr>
      </w:pPr>
      <w:r w:rsidRPr="007B6C7A">
        <w:rPr>
          <w:color w:val="948A54" w:themeColor="background2" w:themeShade="80"/>
        </w:rPr>
        <w:t xml:space="preserve">At St </w:t>
      </w:r>
      <w:proofErr w:type="spellStart"/>
      <w:r w:rsidRPr="007B6C7A">
        <w:rPr>
          <w:color w:val="948A54" w:themeColor="background2" w:themeShade="80"/>
        </w:rPr>
        <w:t>Minver</w:t>
      </w:r>
      <w:proofErr w:type="spellEnd"/>
      <w:r w:rsidRPr="007B6C7A">
        <w:rPr>
          <w:color w:val="948A54" w:themeColor="background2" w:themeShade="80"/>
        </w:rPr>
        <w:t xml:space="preserve"> School we pride ourselves on the academic achievements of our pupils.</w:t>
      </w:r>
    </w:p>
    <w:p w:rsidR="007B6C7A" w:rsidRPr="007B6C7A" w:rsidRDefault="007B6C7A">
      <w:pPr>
        <w:rPr>
          <w:color w:val="948A54" w:themeColor="background2" w:themeShade="80"/>
        </w:rPr>
      </w:pPr>
      <w:r w:rsidRPr="007B6C7A">
        <w:rPr>
          <w:color w:val="948A54" w:themeColor="background2" w:themeShade="80"/>
        </w:rPr>
        <w:t>The below tables tell you a little more about how we perform against other schools nationally.</w:t>
      </w:r>
    </w:p>
    <w:p w:rsidR="007B6C7A" w:rsidRDefault="007B6C7A" w:rsidP="007B6C7A">
      <w:pPr>
        <w:rPr>
          <w:color w:val="948A54" w:themeColor="background2" w:themeShade="80"/>
          <w:sz w:val="24"/>
          <w:szCs w:val="24"/>
        </w:rPr>
      </w:pPr>
      <w:r>
        <w:rPr>
          <w:color w:val="948A54" w:themeColor="background2" w:themeShade="80"/>
          <w:sz w:val="24"/>
          <w:szCs w:val="24"/>
        </w:rPr>
        <w:t>Our Three year trend for KS2 results looks like this:</w:t>
      </w:r>
    </w:p>
    <w:tbl>
      <w:tblPr>
        <w:tblStyle w:val="TableGrid"/>
        <w:tblW w:w="9322" w:type="dxa"/>
        <w:tblLook w:val="04A0"/>
      </w:tblPr>
      <w:tblGrid>
        <w:gridCol w:w="924"/>
        <w:gridCol w:w="924"/>
        <w:gridCol w:w="924"/>
        <w:gridCol w:w="924"/>
        <w:gridCol w:w="924"/>
        <w:gridCol w:w="924"/>
        <w:gridCol w:w="924"/>
        <w:gridCol w:w="924"/>
        <w:gridCol w:w="925"/>
        <w:gridCol w:w="1005"/>
      </w:tblGrid>
      <w:tr w:rsidR="007B6C7A" w:rsidTr="00447D6A">
        <w:tc>
          <w:tcPr>
            <w:tcW w:w="924" w:type="dxa"/>
          </w:tcPr>
          <w:p w:rsidR="007B6C7A" w:rsidRDefault="007B6C7A" w:rsidP="00447D6A">
            <w:pPr>
              <w:rPr>
                <w:rFonts w:asciiTheme="majorHAnsi" w:hAnsiTheme="majorHAnsi"/>
                <w:sz w:val="24"/>
                <w:szCs w:val="24"/>
              </w:rPr>
            </w:pPr>
          </w:p>
        </w:tc>
        <w:tc>
          <w:tcPr>
            <w:tcW w:w="2772" w:type="dxa"/>
            <w:gridSpan w:val="3"/>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Reading</w:t>
            </w:r>
          </w:p>
        </w:tc>
        <w:tc>
          <w:tcPr>
            <w:tcW w:w="2772" w:type="dxa"/>
            <w:gridSpan w:val="3"/>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Writing</w:t>
            </w:r>
          </w:p>
        </w:tc>
        <w:tc>
          <w:tcPr>
            <w:tcW w:w="2854" w:type="dxa"/>
            <w:gridSpan w:val="3"/>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Maths</w:t>
            </w:r>
          </w:p>
        </w:tc>
      </w:tr>
      <w:tr w:rsidR="007B6C7A" w:rsidTr="00447D6A">
        <w:tc>
          <w:tcPr>
            <w:tcW w:w="924" w:type="dxa"/>
          </w:tcPr>
          <w:p w:rsidR="007B6C7A" w:rsidRDefault="007B6C7A" w:rsidP="00447D6A">
            <w:pPr>
              <w:rPr>
                <w:rFonts w:asciiTheme="majorHAnsi" w:hAnsiTheme="majorHAnsi"/>
                <w:sz w:val="24"/>
                <w:szCs w:val="24"/>
              </w:rPr>
            </w:pPr>
          </w:p>
        </w:tc>
        <w:tc>
          <w:tcPr>
            <w:tcW w:w="924"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r w:rsidRPr="00E732B0">
              <w:rPr>
                <w:rFonts w:asciiTheme="majorHAnsi" w:hAnsiTheme="majorHAnsi"/>
                <w:b/>
                <w:sz w:val="24"/>
                <w:szCs w:val="24"/>
              </w:rPr>
              <w:t xml:space="preserve"> 2015</w:t>
            </w:r>
          </w:p>
        </w:tc>
        <w:tc>
          <w:tcPr>
            <w:tcW w:w="924" w:type="dxa"/>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Nat</w:t>
            </w:r>
          </w:p>
        </w:tc>
        <w:tc>
          <w:tcPr>
            <w:tcW w:w="924"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p>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3 Yr</w:t>
            </w:r>
          </w:p>
        </w:tc>
        <w:tc>
          <w:tcPr>
            <w:tcW w:w="924"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r w:rsidRPr="00E732B0">
              <w:rPr>
                <w:rFonts w:asciiTheme="majorHAnsi" w:hAnsiTheme="majorHAnsi"/>
                <w:b/>
                <w:sz w:val="24"/>
                <w:szCs w:val="24"/>
              </w:rPr>
              <w:t xml:space="preserve"> 2015</w:t>
            </w:r>
          </w:p>
        </w:tc>
        <w:tc>
          <w:tcPr>
            <w:tcW w:w="924" w:type="dxa"/>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Nat</w:t>
            </w:r>
          </w:p>
        </w:tc>
        <w:tc>
          <w:tcPr>
            <w:tcW w:w="924"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p>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3 Yr</w:t>
            </w:r>
          </w:p>
        </w:tc>
        <w:tc>
          <w:tcPr>
            <w:tcW w:w="924"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r w:rsidRPr="00E732B0">
              <w:rPr>
                <w:rFonts w:asciiTheme="majorHAnsi" w:hAnsiTheme="majorHAnsi"/>
                <w:b/>
                <w:sz w:val="24"/>
                <w:szCs w:val="24"/>
              </w:rPr>
              <w:t xml:space="preserve"> 2015</w:t>
            </w:r>
          </w:p>
        </w:tc>
        <w:tc>
          <w:tcPr>
            <w:tcW w:w="925" w:type="dxa"/>
          </w:tcPr>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Nat</w:t>
            </w:r>
          </w:p>
        </w:tc>
        <w:tc>
          <w:tcPr>
            <w:tcW w:w="1005" w:type="dxa"/>
          </w:tcPr>
          <w:p w:rsidR="007B6C7A" w:rsidRPr="00E732B0" w:rsidRDefault="007B6C7A" w:rsidP="00447D6A">
            <w:pPr>
              <w:jc w:val="center"/>
              <w:rPr>
                <w:rFonts w:asciiTheme="majorHAnsi" w:hAnsiTheme="majorHAnsi"/>
                <w:b/>
                <w:sz w:val="24"/>
                <w:szCs w:val="24"/>
              </w:rPr>
            </w:pPr>
            <w:proofErr w:type="spellStart"/>
            <w:r w:rsidRPr="00E732B0">
              <w:rPr>
                <w:rFonts w:asciiTheme="majorHAnsi" w:hAnsiTheme="majorHAnsi"/>
                <w:b/>
                <w:sz w:val="24"/>
                <w:szCs w:val="24"/>
              </w:rPr>
              <w:t>Sch</w:t>
            </w:r>
            <w:proofErr w:type="spellEnd"/>
          </w:p>
          <w:p w:rsidR="007B6C7A" w:rsidRPr="00E732B0" w:rsidRDefault="007B6C7A" w:rsidP="00447D6A">
            <w:pPr>
              <w:jc w:val="center"/>
              <w:rPr>
                <w:rFonts w:asciiTheme="majorHAnsi" w:hAnsiTheme="majorHAnsi"/>
                <w:b/>
                <w:sz w:val="24"/>
                <w:szCs w:val="24"/>
              </w:rPr>
            </w:pPr>
            <w:r w:rsidRPr="00E732B0">
              <w:rPr>
                <w:rFonts w:asciiTheme="majorHAnsi" w:hAnsiTheme="majorHAnsi"/>
                <w:b/>
                <w:sz w:val="24"/>
                <w:szCs w:val="24"/>
              </w:rPr>
              <w:t>3 Yr</w:t>
            </w:r>
          </w:p>
        </w:tc>
      </w:tr>
      <w:tr w:rsidR="007B6C7A" w:rsidTr="00447D6A">
        <w:trPr>
          <w:trHeight w:val="237"/>
        </w:trPr>
        <w:tc>
          <w:tcPr>
            <w:tcW w:w="924" w:type="dxa"/>
          </w:tcPr>
          <w:p w:rsidR="007B6C7A" w:rsidRPr="00E732B0" w:rsidRDefault="007B6C7A" w:rsidP="00447D6A">
            <w:pPr>
              <w:rPr>
                <w:rFonts w:asciiTheme="majorHAnsi" w:hAnsiTheme="majorHAnsi"/>
                <w:b/>
                <w:sz w:val="24"/>
                <w:szCs w:val="24"/>
              </w:rPr>
            </w:pPr>
            <w:r w:rsidRPr="00E732B0">
              <w:rPr>
                <w:rFonts w:asciiTheme="majorHAnsi" w:hAnsiTheme="majorHAnsi"/>
                <w:b/>
                <w:sz w:val="24"/>
                <w:szCs w:val="24"/>
              </w:rPr>
              <w:t>L4+</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93.8%</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89%</w:t>
            </w:r>
          </w:p>
        </w:tc>
        <w:tc>
          <w:tcPr>
            <w:tcW w:w="924"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92%</w:t>
            </w:r>
          </w:p>
        </w:tc>
        <w:tc>
          <w:tcPr>
            <w:tcW w:w="924" w:type="dxa"/>
            <w:shd w:val="clear" w:color="auto" w:fill="FFC000"/>
          </w:tcPr>
          <w:p w:rsidR="007B6C7A" w:rsidRDefault="007B6C7A" w:rsidP="00447D6A">
            <w:pPr>
              <w:rPr>
                <w:rFonts w:asciiTheme="majorHAnsi" w:hAnsiTheme="majorHAnsi"/>
                <w:sz w:val="24"/>
                <w:szCs w:val="24"/>
              </w:rPr>
            </w:pPr>
            <w:r>
              <w:rPr>
                <w:rFonts w:asciiTheme="majorHAnsi" w:hAnsiTheme="majorHAnsi"/>
                <w:sz w:val="24"/>
                <w:szCs w:val="24"/>
              </w:rPr>
              <w:t>81.3%</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85%</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87.5%</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87.5%</w:t>
            </w:r>
          </w:p>
        </w:tc>
        <w:tc>
          <w:tcPr>
            <w:tcW w:w="925" w:type="dxa"/>
          </w:tcPr>
          <w:p w:rsidR="007B6C7A" w:rsidRDefault="007B6C7A" w:rsidP="00447D6A">
            <w:pPr>
              <w:rPr>
                <w:rFonts w:asciiTheme="majorHAnsi" w:hAnsiTheme="majorHAnsi"/>
                <w:sz w:val="24"/>
                <w:szCs w:val="24"/>
              </w:rPr>
            </w:pPr>
            <w:r>
              <w:rPr>
                <w:rFonts w:asciiTheme="majorHAnsi" w:hAnsiTheme="majorHAnsi"/>
                <w:sz w:val="24"/>
                <w:szCs w:val="24"/>
              </w:rPr>
              <w:t>86%</w:t>
            </w:r>
          </w:p>
        </w:tc>
        <w:tc>
          <w:tcPr>
            <w:tcW w:w="1005"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90.9%</w:t>
            </w:r>
          </w:p>
        </w:tc>
      </w:tr>
      <w:tr w:rsidR="007B6C7A" w:rsidTr="00447D6A">
        <w:tc>
          <w:tcPr>
            <w:tcW w:w="924" w:type="dxa"/>
          </w:tcPr>
          <w:p w:rsidR="007B6C7A" w:rsidRPr="00E732B0" w:rsidRDefault="007B6C7A" w:rsidP="00447D6A">
            <w:pPr>
              <w:rPr>
                <w:rFonts w:asciiTheme="majorHAnsi" w:hAnsiTheme="majorHAnsi"/>
                <w:b/>
                <w:sz w:val="24"/>
                <w:szCs w:val="24"/>
              </w:rPr>
            </w:pPr>
            <w:r w:rsidRPr="00E732B0">
              <w:rPr>
                <w:rFonts w:asciiTheme="majorHAnsi" w:hAnsiTheme="majorHAnsi"/>
                <w:b/>
                <w:sz w:val="24"/>
                <w:szCs w:val="24"/>
              </w:rPr>
              <w:t>L5+</w:t>
            </w:r>
          </w:p>
        </w:tc>
        <w:tc>
          <w:tcPr>
            <w:tcW w:w="924" w:type="dxa"/>
            <w:shd w:val="clear" w:color="auto" w:fill="FFC000"/>
          </w:tcPr>
          <w:p w:rsidR="007B6C7A" w:rsidRDefault="007B6C7A" w:rsidP="00447D6A">
            <w:pPr>
              <w:rPr>
                <w:rFonts w:asciiTheme="majorHAnsi" w:hAnsiTheme="majorHAnsi"/>
                <w:sz w:val="24"/>
                <w:szCs w:val="24"/>
              </w:rPr>
            </w:pPr>
            <w:r>
              <w:rPr>
                <w:rFonts w:asciiTheme="majorHAnsi" w:hAnsiTheme="majorHAnsi"/>
                <w:sz w:val="24"/>
                <w:szCs w:val="24"/>
              </w:rPr>
              <w:t>46.9%</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50%</w:t>
            </w:r>
          </w:p>
        </w:tc>
        <w:tc>
          <w:tcPr>
            <w:tcW w:w="924"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62.5%</w:t>
            </w:r>
          </w:p>
        </w:tc>
        <w:tc>
          <w:tcPr>
            <w:tcW w:w="924" w:type="dxa"/>
            <w:shd w:val="clear" w:color="auto" w:fill="FFC000"/>
          </w:tcPr>
          <w:p w:rsidR="007B6C7A" w:rsidRDefault="007B6C7A" w:rsidP="00447D6A">
            <w:pPr>
              <w:rPr>
                <w:rFonts w:asciiTheme="majorHAnsi" w:hAnsiTheme="majorHAnsi"/>
                <w:sz w:val="24"/>
                <w:szCs w:val="24"/>
              </w:rPr>
            </w:pPr>
            <w:r>
              <w:rPr>
                <w:rFonts w:asciiTheme="majorHAnsi" w:hAnsiTheme="majorHAnsi"/>
                <w:sz w:val="24"/>
                <w:szCs w:val="24"/>
              </w:rPr>
              <w:t>31.3%</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33%</w:t>
            </w:r>
          </w:p>
        </w:tc>
        <w:tc>
          <w:tcPr>
            <w:tcW w:w="924" w:type="dxa"/>
            <w:shd w:val="clear" w:color="auto" w:fill="FF0000"/>
          </w:tcPr>
          <w:p w:rsidR="007B6C7A" w:rsidRDefault="007B6C7A" w:rsidP="00447D6A">
            <w:pPr>
              <w:rPr>
                <w:rFonts w:asciiTheme="majorHAnsi" w:hAnsiTheme="majorHAnsi"/>
                <w:sz w:val="24"/>
                <w:szCs w:val="24"/>
              </w:rPr>
            </w:pPr>
            <w:r>
              <w:rPr>
                <w:rFonts w:asciiTheme="majorHAnsi" w:hAnsiTheme="majorHAnsi"/>
                <w:sz w:val="24"/>
                <w:szCs w:val="24"/>
              </w:rPr>
              <w:t>27.3%</w:t>
            </w:r>
          </w:p>
        </w:tc>
        <w:tc>
          <w:tcPr>
            <w:tcW w:w="924" w:type="dxa"/>
            <w:shd w:val="clear" w:color="auto" w:fill="FF0000"/>
          </w:tcPr>
          <w:p w:rsidR="007B6C7A" w:rsidRDefault="007B6C7A" w:rsidP="00447D6A">
            <w:pPr>
              <w:rPr>
                <w:rFonts w:asciiTheme="majorHAnsi" w:hAnsiTheme="majorHAnsi"/>
                <w:sz w:val="24"/>
                <w:szCs w:val="24"/>
              </w:rPr>
            </w:pPr>
            <w:r>
              <w:rPr>
                <w:rFonts w:asciiTheme="majorHAnsi" w:hAnsiTheme="majorHAnsi"/>
                <w:sz w:val="24"/>
                <w:szCs w:val="24"/>
              </w:rPr>
              <w:t>34.4%</w:t>
            </w:r>
          </w:p>
        </w:tc>
        <w:tc>
          <w:tcPr>
            <w:tcW w:w="925" w:type="dxa"/>
          </w:tcPr>
          <w:p w:rsidR="007B6C7A" w:rsidRDefault="007B6C7A" w:rsidP="00447D6A">
            <w:pPr>
              <w:rPr>
                <w:rFonts w:asciiTheme="majorHAnsi" w:hAnsiTheme="majorHAnsi"/>
                <w:sz w:val="24"/>
                <w:szCs w:val="24"/>
              </w:rPr>
            </w:pPr>
            <w:r>
              <w:rPr>
                <w:rFonts w:asciiTheme="majorHAnsi" w:hAnsiTheme="majorHAnsi"/>
                <w:sz w:val="24"/>
                <w:szCs w:val="24"/>
              </w:rPr>
              <w:t>42%</w:t>
            </w:r>
          </w:p>
        </w:tc>
        <w:tc>
          <w:tcPr>
            <w:tcW w:w="1005"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51.1%</w:t>
            </w:r>
          </w:p>
        </w:tc>
      </w:tr>
      <w:tr w:rsidR="007B6C7A" w:rsidTr="00447D6A">
        <w:tc>
          <w:tcPr>
            <w:tcW w:w="924" w:type="dxa"/>
          </w:tcPr>
          <w:p w:rsidR="007B6C7A" w:rsidRPr="00E732B0" w:rsidRDefault="007B6C7A" w:rsidP="00447D6A">
            <w:pPr>
              <w:rPr>
                <w:rFonts w:asciiTheme="majorHAnsi" w:hAnsiTheme="majorHAnsi"/>
                <w:b/>
                <w:sz w:val="24"/>
                <w:szCs w:val="24"/>
              </w:rPr>
            </w:pPr>
            <w:r>
              <w:rPr>
                <w:rFonts w:asciiTheme="majorHAnsi" w:hAnsiTheme="majorHAnsi"/>
                <w:b/>
                <w:sz w:val="24"/>
                <w:szCs w:val="24"/>
              </w:rPr>
              <w:t>APS</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29.4</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29</w:t>
            </w:r>
          </w:p>
        </w:tc>
        <w:tc>
          <w:tcPr>
            <w:tcW w:w="924"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30.2</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27.8</w:t>
            </w:r>
          </w:p>
        </w:tc>
        <w:tc>
          <w:tcPr>
            <w:tcW w:w="924" w:type="dxa"/>
          </w:tcPr>
          <w:p w:rsidR="007B6C7A" w:rsidRDefault="007B6C7A" w:rsidP="00447D6A">
            <w:pPr>
              <w:rPr>
                <w:rFonts w:asciiTheme="majorHAnsi" w:hAnsiTheme="majorHAnsi"/>
                <w:sz w:val="24"/>
                <w:szCs w:val="24"/>
              </w:rPr>
            </w:pPr>
            <w:r>
              <w:rPr>
                <w:rFonts w:asciiTheme="majorHAnsi" w:hAnsiTheme="majorHAnsi"/>
                <w:sz w:val="24"/>
                <w:szCs w:val="24"/>
              </w:rPr>
              <w:t>27.9</w:t>
            </w:r>
          </w:p>
        </w:tc>
        <w:tc>
          <w:tcPr>
            <w:tcW w:w="924" w:type="dxa"/>
            <w:shd w:val="clear" w:color="auto" w:fill="00B050"/>
          </w:tcPr>
          <w:p w:rsidR="007B6C7A" w:rsidRDefault="007B6C7A" w:rsidP="00447D6A">
            <w:pPr>
              <w:rPr>
                <w:rFonts w:asciiTheme="majorHAnsi" w:hAnsiTheme="majorHAnsi"/>
                <w:sz w:val="24"/>
                <w:szCs w:val="24"/>
              </w:rPr>
            </w:pPr>
            <w:r>
              <w:rPr>
                <w:rFonts w:asciiTheme="majorHAnsi" w:hAnsiTheme="majorHAnsi"/>
                <w:sz w:val="24"/>
                <w:szCs w:val="24"/>
              </w:rPr>
              <w:t>27.9</w:t>
            </w:r>
          </w:p>
        </w:tc>
        <w:tc>
          <w:tcPr>
            <w:tcW w:w="924" w:type="dxa"/>
            <w:shd w:val="clear" w:color="auto" w:fill="00B050"/>
          </w:tcPr>
          <w:p w:rsidR="007B6C7A" w:rsidRPr="0051461C" w:rsidRDefault="007B6C7A" w:rsidP="00447D6A">
            <w:pPr>
              <w:rPr>
                <w:rFonts w:asciiTheme="majorHAnsi" w:hAnsiTheme="majorHAnsi"/>
                <w:color w:val="FFC000"/>
                <w:sz w:val="24"/>
                <w:szCs w:val="24"/>
              </w:rPr>
            </w:pPr>
            <w:r>
              <w:rPr>
                <w:rFonts w:asciiTheme="majorHAnsi" w:hAnsiTheme="majorHAnsi"/>
                <w:sz w:val="24"/>
                <w:szCs w:val="24"/>
              </w:rPr>
              <w:t>28.5</w:t>
            </w:r>
          </w:p>
        </w:tc>
        <w:tc>
          <w:tcPr>
            <w:tcW w:w="925" w:type="dxa"/>
          </w:tcPr>
          <w:p w:rsidR="007B6C7A" w:rsidRDefault="007B6C7A" w:rsidP="00447D6A">
            <w:pPr>
              <w:rPr>
                <w:rFonts w:asciiTheme="majorHAnsi" w:hAnsiTheme="majorHAnsi"/>
                <w:sz w:val="24"/>
                <w:szCs w:val="24"/>
              </w:rPr>
            </w:pPr>
            <w:r>
              <w:rPr>
                <w:rFonts w:asciiTheme="majorHAnsi" w:hAnsiTheme="majorHAnsi"/>
                <w:sz w:val="24"/>
                <w:szCs w:val="24"/>
              </w:rPr>
              <w:t>29</w:t>
            </w:r>
          </w:p>
        </w:tc>
        <w:tc>
          <w:tcPr>
            <w:tcW w:w="1005"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29.8</w:t>
            </w:r>
          </w:p>
        </w:tc>
      </w:tr>
    </w:tbl>
    <w:p w:rsidR="007B6C7A" w:rsidRDefault="007B6C7A" w:rsidP="007B6C7A">
      <w:pPr>
        <w:rPr>
          <w:rFonts w:asciiTheme="majorHAnsi" w:hAnsiTheme="majorHAnsi"/>
          <w:color w:val="948A54" w:themeColor="background2" w:themeShade="80"/>
          <w:sz w:val="24"/>
          <w:szCs w:val="24"/>
        </w:rPr>
      </w:pPr>
    </w:p>
    <w:p w:rsidR="007B6C7A" w:rsidRPr="00C070AE" w:rsidRDefault="007B6C7A" w:rsidP="007B6C7A">
      <w:pPr>
        <w:rPr>
          <w:rFonts w:asciiTheme="majorHAnsi" w:hAnsiTheme="majorHAnsi"/>
          <w:color w:val="948A54" w:themeColor="background2" w:themeShade="80"/>
          <w:sz w:val="24"/>
          <w:szCs w:val="24"/>
        </w:rPr>
      </w:pPr>
      <w:r w:rsidRPr="00C070AE">
        <w:rPr>
          <w:rFonts w:asciiTheme="majorHAnsi" w:hAnsiTheme="majorHAnsi"/>
          <w:color w:val="948A54" w:themeColor="background2" w:themeShade="80"/>
          <w:sz w:val="24"/>
          <w:szCs w:val="24"/>
        </w:rPr>
        <w:t>We can see that the school usually performs significantly above national expectations in reading and maths. This year we were still above at Level 4+ but falling below our usual standard in achieving Level 5.  Our average point scores however were still broadly in line with national this year and over a three year period, is significantly above for all areas.</w:t>
      </w:r>
    </w:p>
    <w:p w:rsidR="007B6C7A" w:rsidRPr="00C070AE" w:rsidRDefault="007B6C7A" w:rsidP="007B6C7A">
      <w:pPr>
        <w:rPr>
          <w:rFonts w:asciiTheme="majorHAnsi" w:hAnsiTheme="majorHAnsi"/>
          <w:color w:val="948A54" w:themeColor="background2" w:themeShade="80"/>
          <w:sz w:val="24"/>
          <w:szCs w:val="24"/>
        </w:rPr>
      </w:pPr>
      <w:r w:rsidRPr="00C070AE">
        <w:rPr>
          <w:rFonts w:asciiTheme="majorHAnsi" w:hAnsiTheme="majorHAnsi"/>
          <w:color w:val="948A54" w:themeColor="background2" w:themeShade="80"/>
          <w:sz w:val="24"/>
          <w:szCs w:val="24"/>
        </w:rPr>
        <w:t>Although writing at level 4+ has been in line or above national averages, Level 5+ has dipped below National averages over a 3 year rolling percentage and yet our GPS scores show that children are achieving well above the national averages for level 4+ and level 5+.</w:t>
      </w:r>
    </w:p>
    <w:tbl>
      <w:tblPr>
        <w:tblStyle w:val="TableGrid"/>
        <w:tblW w:w="0" w:type="auto"/>
        <w:tblLook w:val="04A0"/>
      </w:tblPr>
      <w:tblGrid>
        <w:gridCol w:w="1260"/>
        <w:gridCol w:w="1329"/>
        <w:gridCol w:w="1331"/>
        <w:gridCol w:w="1329"/>
        <w:gridCol w:w="1331"/>
        <w:gridCol w:w="1330"/>
        <w:gridCol w:w="1332"/>
      </w:tblGrid>
      <w:tr w:rsidR="007B6C7A" w:rsidTr="00447D6A">
        <w:tc>
          <w:tcPr>
            <w:tcW w:w="1260" w:type="dxa"/>
          </w:tcPr>
          <w:p w:rsidR="007B6C7A" w:rsidRPr="004638A8" w:rsidRDefault="007B6C7A" w:rsidP="00447D6A">
            <w:pPr>
              <w:jc w:val="center"/>
              <w:rPr>
                <w:rFonts w:asciiTheme="majorHAnsi" w:hAnsiTheme="majorHAnsi"/>
                <w:b/>
                <w:sz w:val="24"/>
                <w:szCs w:val="24"/>
              </w:rPr>
            </w:pPr>
            <w:r>
              <w:rPr>
                <w:rFonts w:asciiTheme="majorHAnsi" w:hAnsiTheme="majorHAnsi"/>
                <w:b/>
                <w:sz w:val="24"/>
                <w:szCs w:val="24"/>
              </w:rPr>
              <w:t>GPS results</w:t>
            </w:r>
          </w:p>
        </w:tc>
        <w:tc>
          <w:tcPr>
            <w:tcW w:w="2660" w:type="dxa"/>
            <w:gridSpan w:val="2"/>
          </w:tcPr>
          <w:p w:rsidR="007B6C7A" w:rsidRPr="004638A8" w:rsidRDefault="007B6C7A" w:rsidP="00447D6A">
            <w:pPr>
              <w:jc w:val="center"/>
              <w:rPr>
                <w:rFonts w:asciiTheme="majorHAnsi" w:hAnsiTheme="majorHAnsi"/>
                <w:b/>
                <w:sz w:val="24"/>
                <w:szCs w:val="24"/>
              </w:rPr>
            </w:pPr>
            <w:r w:rsidRPr="004638A8">
              <w:rPr>
                <w:rFonts w:asciiTheme="majorHAnsi" w:hAnsiTheme="majorHAnsi"/>
                <w:b/>
                <w:sz w:val="24"/>
                <w:szCs w:val="24"/>
              </w:rPr>
              <w:t>2013</w:t>
            </w:r>
          </w:p>
        </w:tc>
        <w:tc>
          <w:tcPr>
            <w:tcW w:w="2660" w:type="dxa"/>
            <w:gridSpan w:val="2"/>
          </w:tcPr>
          <w:p w:rsidR="007B6C7A" w:rsidRPr="004638A8" w:rsidRDefault="007B6C7A" w:rsidP="00447D6A">
            <w:pPr>
              <w:jc w:val="center"/>
              <w:rPr>
                <w:rFonts w:asciiTheme="majorHAnsi" w:hAnsiTheme="majorHAnsi"/>
                <w:b/>
                <w:sz w:val="24"/>
                <w:szCs w:val="24"/>
              </w:rPr>
            </w:pPr>
            <w:r w:rsidRPr="004638A8">
              <w:rPr>
                <w:rFonts w:asciiTheme="majorHAnsi" w:hAnsiTheme="majorHAnsi"/>
                <w:b/>
                <w:sz w:val="24"/>
                <w:szCs w:val="24"/>
              </w:rPr>
              <w:t>2014</w:t>
            </w:r>
          </w:p>
        </w:tc>
        <w:tc>
          <w:tcPr>
            <w:tcW w:w="2662" w:type="dxa"/>
            <w:gridSpan w:val="2"/>
          </w:tcPr>
          <w:p w:rsidR="007B6C7A" w:rsidRPr="004638A8" w:rsidRDefault="007B6C7A" w:rsidP="00447D6A">
            <w:pPr>
              <w:jc w:val="center"/>
              <w:rPr>
                <w:rFonts w:asciiTheme="majorHAnsi" w:hAnsiTheme="majorHAnsi"/>
                <w:b/>
                <w:sz w:val="24"/>
                <w:szCs w:val="24"/>
              </w:rPr>
            </w:pPr>
            <w:r w:rsidRPr="004638A8">
              <w:rPr>
                <w:rFonts w:asciiTheme="majorHAnsi" w:hAnsiTheme="majorHAnsi"/>
                <w:b/>
                <w:sz w:val="24"/>
                <w:szCs w:val="24"/>
              </w:rPr>
              <w:t>2015</w:t>
            </w:r>
          </w:p>
        </w:tc>
      </w:tr>
      <w:tr w:rsidR="007B6C7A" w:rsidTr="00447D6A">
        <w:tc>
          <w:tcPr>
            <w:tcW w:w="1260" w:type="dxa"/>
          </w:tcPr>
          <w:p w:rsidR="007B6C7A" w:rsidRDefault="007B6C7A" w:rsidP="00447D6A">
            <w:pPr>
              <w:rPr>
                <w:rFonts w:asciiTheme="majorHAnsi" w:hAnsiTheme="majorHAnsi"/>
                <w:sz w:val="24"/>
                <w:szCs w:val="24"/>
              </w:rPr>
            </w:pPr>
          </w:p>
        </w:tc>
        <w:tc>
          <w:tcPr>
            <w:tcW w:w="1329" w:type="dxa"/>
          </w:tcPr>
          <w:p w:rsidR="007B6C7A" w:rsidRDefault="007B6C7A" w:rsidP="00447D6A">
            <w:pPr>
              <w:rPr>
                <w:rFonts w:asciiTheme="majorHAnsi" w:hAnsiTheme="majorHAnsi"/>
                <w:sz w:val="24"/>
                <w:szCs w:val="24"/>
              </w:rPr>
            </w:pPr>
            <w:proofErr w:type="spellStart"/>
            <w:r>
              <w:rPr>
                <w:rFonts w:asciiTheme="majorHAnsi" w:hAnsiTheme="majorHAnsi"/>
                <w:sz w:val="24"/>
                <w:szCs w:val="24"/>
              </w:rPr>
              <w:t>Sch</w:t>
            </w:r>
            <w:proofErr w:type="spellEnd"/>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Nat</w:t>
            </w:r>
          </w:p>
        </w:tc>
        <w:tc>
          <w:tcPr>
            <w:tcW w:w="1329" w:type="dxa"/>
          </w:tcPr>
          <w:p w:rsidR="007B6C7A" w:rsidRDefault="007B6C7A" w:rsidP="00447D6A">
            <w:pPr>
              <w:rPr>
                <w:rFonts w:asciiTheme="majorHAnsi" w:hAnsiTheme="majorHAnsi"/>
                <w:sz w:val="24"/>
                <w:szCs w:val="24"/>
              </w:rPr>
            </w:pPr>
            <w:proofErr w:type="spellStart"/>
            <w:r>
              <w:rPr>
                <w:rFonts w:asciiTheme="majorHAnsi" w:hAnsiTheme="majorHAnsi"/>
                <w:sz w:val="24"/>
                <w:szCs w:val="24"/>
              </w:rPr>
              <w:t>Sch</w:t>
            </w:r>
            <w:proofErr w:type="spellEnd"/>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Nat</w:t>
            </w:r>
          </w:p>
        </w:tc>
        <w:tc>
          <w:tcPr>
            <w:tcW w:w="1330" w:type="dxa"/>
          </w:tcPr>
          <w:p w:rsidR="007B6C7A" w:rsidRDefault="007B6C7A" w:rsidP="00447D6A">
            <w:pPr>
              <w:rPr>
                <w:rFonts w:asciiTheme="majorHAnsi" w:hAnsiTheme="majorHAnsi"/>
                <w:sz w:val="24"/>
                <w:szCs w:val="24"/>
              </w:rPr>
            </w:pPr>
            <w:proofErr w:type="spellStart"/>
            <w:r>
              <w:rPr>
                <w:rFonts w:asciiTheme="majorHAnsi" w:hAnsiTheme="majorHAnsi"/>
                <w:sz w:val="24"/>
                <w:szCs w:val="24"/>
              </w:rPr>
              <w:t>Sch</w:t>
            </w:r>
            <w:proofErr w:type="spellEnd"/>
          </w:p>
        </w:tc>
        <w:tc>
          <w:tcPr>
            <w:tcW w:w="1332" w:type="dxa"/>
          </w:tcPr>
          <w:p w:rsidR="007B6C7A" w:rsidRDefault="007B6C7A" w:rsidP="00447D6A">
            <w:pPr>
              <w:rPr>
                <w:rFonts w:asciiTheme="majorHAnsi" w:hAnsiTheme="majorHAnsi"/>
                <w:sz w:val="24"/>
                <w:szCs w:val="24"/>
              </w:rPr>
            </w:pPr>
            <w:r>
              <w:rPr>
                <w:rFonts w:asciiTheme="majorHAnsi" w:hAnsiTheme="majorHAnsi"/>
                <w:sz w:val="24"/>
                <w:szCs w:val="24"/>
              </w:rPr>
              <w:t>Nat</w:t>
            </w:r>
          </w:p>
        </w:tc>
      </w:tr>
      <w:tr w:rsidR="007B6C7A" w:rsidTr="00447D6A">
        <w:tc>
          <w:tcPr>
            <w:tcW w:w="1260" w:type="dxa"/>
          </w:tcPr>
          <w:p w:rsidR="007B6C7A" w:rsidRDefault="007B6C7A" w:rsidP="00447D6A">
            <w:pPr>
              <w:rPr>
                <w:rFonts w:asciiTheme="majorHAnsi" w:hAnsiTheme="majorHAnsi"/>
                <w:sz w:val="24"/>
                <w:szCs w:val="24"/>
              </w:rPr>
            </w:pPr>
            <w:r>
              <w:rPr>
                <w:rFonts w:asciiTheme="majorHAnsi" w:hAnsiTheme="majorHAnsi"/>
                <w:sz w:val="24"/>
                <w:szCs w:val="24"/>
              </w:rPr>
              <w:t>L4+</w:t>
            </w:r>
          </w:p>
        </w:tc>
        <w:tc>
          <w:tcPr>
            <w:tcW w:w="1329"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89.6%</w:t>
            </w:r>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74</w:t>
            </w:r>
          </w:p>
        </w:tc>
        <w:tc>
          <w:tcPr>
            <w:tcW w:w="1329"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81.4%</w:t>
            </w:r>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76</w:t>
            </w:r>
          </w:p>
        </w:tc>
        <w:tc>
          <w:tcPr>
            <w:tcW w:w="1330"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90.6%</w:t>
            </w:r>
          </w:p>
        </w:tc>
        <w:tc>
          <w:tcPr>
            <w:tcW w:w="1332" w:type="dxa"/>
          </w:tcPr>
          <w:p w:rsidR="007B6C7A" w:rsidRDefault="007B6C7A" w:rsidP="00447D6A">
            <w:pPr>
              <w:rPr>
                <w:rFonts w:asciiTheme="majorHAnsi" w:hAnsiTheme="majorHAnsi"/>
                <w:sz w:val="24"/>
                <w:szCs w:val="24"/>
              </w:rPr>
            </w:pPr>
            <w:r>
              <w:rPr>
                <w:rFonts w:asciiTheme="majorHAnsi" w:hAnsiTheme="majorHAnsi"/>
                <w:sz w:val="24"/>
                <w:szCs w:val="24"/>
              </w:rPr>
              <w:t>80</w:t>
            </w:r>
          </w:p>
        </w:tc>
      </w:tr>
      <w:tr w:rsidR="007B6C7A" w:rsidTr="00447D6A">
        <w:tc>
          <w:tcPr>
            <w:tcW w:w="1260" w:type="dxa"/>
          </w:tcPr>
          <w:p w:rsidR="007B6C7A" w:rsidRDefault="007B6C7A" w:rsidP="00447D6A">
            <w:pPr>
              <w:rPr>
                <w:rFonts w:asciiTheme="majorHAnsi" w:hAnsiTheme="majorHAnsi"/>
                <w:sz w:val="24"/>
                <w:szCs w:val="24"/>
              </w:rPr>
            </w:pPr>
            <w:r>
              <w:rPr>
                <w:rFonts w:asciiTheme="majorHAnsi" w:hAnsiTheme="majorHAnsi"/>
                <w:sz w:val="24"/>
                <w:szCs w:val="24"/>
              </w:rPr>
              <w:t>L5+</w:t>
            </w:r>
          </w:p>
        </w:tc>
        <w:tc>
          <w:tcPr>
            <w:tcW w:w="1329"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58.6%</w:t>
            </w:r>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48</w:t>
            </w:r>
          </w:p>
        </w:tc>
        <w:tc>
          <w:tcPr>
            <w:tcW w:w="1329" w:type="dxa"/>
            <w:shd w:val="clear" w:color="auto" w:fill="FFC000"/>
          </w:tcPr>
          <w:p w:rsidR="007B6C7A" w:rsidRDefault="007B6C7A" w:rsidP="00447D6A">
            <w:pPr>
              <w:rPr>
                <w:rFonts w:asciiTheme="majorHAnsi" w:hAnsiTheme="majorHAnsi"/>
                <w:sz w:val="24"/>
                <w:szCs w:val="24"/>
              </w:rPr>
            </w:pPr>
            <w:r>
              <w:rPr>
                <w:rFonts w:asciiTheme="majorHAnsi" w:hAnsiTheme="majorHAnsi"/>
                <w:sz w:val="24"/>
                <w:szCs w:val="24"/>
              </w:rPr>
              <w:t>51.8%</w:t>
            </w:r>
          </w:p>
        </w:tc>
        <w:tc>
          <w:tcPr>
            <w:tcW w:w="1331" w:type="dxa"/>
          </w:tcPr>
          <w:p w:rsidR="007B6C7A" w:rsidRDefault="007B6C7A" w:rsidP="00447D6A">
            <w:pPr>
              <w:rPr>
                <w:rFonts w:asciiTheme="majorHAnsi" w:hAnsiTheme="majorHAnsi"/>
                <w:sz w:val="24"/>
                <w:szCs w:val="24"/>
              </w:rPr>
            </w:pPr>
            <w:r>
              <w:rPr>
                <w:rFonts w:asciiTheme="majorHAnsi" w:hAnsiTheme="majorHAnsi"/>
                <w:sz w:val="24"/>
                <w:szCs w:val="24"/>
              </w:rPr>
              <w:t>52</w:t>
            </w:r>
          </w:p>
        </w:tc>
        <w:tc>
          <w:tcPr>
            <w:tcW w:w="1330" w:type="dxa"/>
            <w:shd w:val="clear" w:color="auto" w:fill="00B0F0"/>
          </w:tcPr>
          <w:p w:rsidR="007B6C7A" w:rsidRDefault="007B6C7A" w:rsidP="00447D6A">
            <w:pPr>
              <w:rPr>
                <w:rFonts w:asciiTheme="majorHAnsi" w:hAnsiTheme="majorHAnsi"/>
                <w:sz w:val="24"/>
                <w:szCs w:val="24"/>
              </w:rPr>
            </w:pPr>
            <w:r>
              <w:rPr>
                <w:rFonts w:asciiTheme="majorHAnsi" w:hAnsiTheme="majorHAnsi"/>
                <w:sz w:val="24"/>
                <w:szCs w:val="24"/>
              </w:rPr>
              <w:t>59.4%</w:t>
            </w:r>
          </w:p>
        </w:tc>
        <w:tc>
          <w:tcPr>
            <w:tcW w:w="1332" w:type="dxa"/>
          </w:tcPr>
          <w:p w:rsidR="007B6C7A" w:rsidRDefault="007B6C7A" w:rsidP="00447D6A">
            <w:pPr>
              <w:rPr>
                <w:rFonts w:asciiTheme="majorHAnsi" w:hAnsiTheme="majorHAnsi"/>
                <w:sz w:val="24"/>
                <w:szCs w:val="24"/>
              </w:rPr>
            </w:pPr>
            <w:r>
              <w:rPr>
                <w:rFonts w:asciiTheme="majorHAnsi" w:hAnsiTheme="majorHAnsi"/>
                <w:sz w:val="24"/>
                <w:szCs w:val="24"/>
              </w:rPr>
              <w:t>56</w:t>
            </w:r>
          </w:p>
        </w:tc>
      </w:tr>
    </w:tbl>
    <w:p w:rsidR="007B6C7A" w:rsidRDefault="007B6C7A" w:rsidP="007B6C7A">
      <w:pPr>
        <w:rPr>
          <w:b/>
          <w:color w:val="948A54" w:themeColor="background2" w:themeShade="80"/>
          <w:sz w:val="32"/>
          <w:szCs w:val="32"/>
        </w:rPr>
      </w:pPr>
    </w:p>
    <w:p w:rsidR="007B6C7A" w:rsidRDefault="007B6C7A" w:rsidP="007B6C7A">
      <w:pPr>
        <w:rPr>
          <w:color w:val="948A54" w:themeColor="background2" w:themeShade="80"/>
          <w:sz w:val="24"/>
          <w:szCs w:val="24"/>
        </w:rPr>
      </w:pPr>
      <w:r w:rsidRPr="00C070AE">
        <w:rPr>
          <w:color w:val="948A54" w:themeColor="background2" w:themeShade="80"/>
          <w:sz w:val="24"/>
          <w:szCs w:val="24"/>
        </w:rPr>
        <w:t>Our disadvantaged pupils also achieved an APS of 27.9 across all subjects, which is 0.7 above the national figure for similar groups</w:t>
      </w:r>
      <w:r>
        <w:rPr>
          <w:color w:val="948A54" w:themeColor="background2" w:themeShade="80"/>
          <w:sz w:val="24"/>
          <w:szCs w:val="24"/>
        </w:rPr>
        <w:t xml:space="preserve">. Their value added also exceeded national results in all areas. </w:t>
      </w:r>
    </w:p>
    <w:p w:rsidR="007B6C7A" w:rsidRDefault="007B6C7A" w:rsidP="007B6C7A">
      <w:pPr>
        <w:rPr>
          <w:color w:val="948A54" w:themeColor="background2" w:themeShade="80"/>
          <w:sz w:val="24"/>
          <w:szCs w:val="24"/>
        </w:rPr>
      </w:pPr>
      <w:r>
        <w:rPr>
          <w:color w:val="948A54" w:themeColor="background2" w:themeShade="80"/>
          <w:sz w:val="24"/>
          <w:szCs w:val="24"/>
        </w:rPr>
        <w:t>Our BME pupils also exceeded national figures and those for others in our school in all areas at both L4+ and L5+.</w:t>
      </w:r>
    </w:p>
    <w:p w:rsidR="007B6C7A" w:rsidRDefault="007B6C7A" w:rsidP="007B6C7A">
      <w:pPr>
        <w:rPr>
          <w:color w:val="948A54" w:themeColor="background2" w:themeShade="80"/>
          <w:sz w:val="24"/>
          <w:szCs w:val="24"/>
        </w:rPr>
      </w:pPr>
      <w:r>
        <w:rPr>
          <w:color w:val="948A54" w:themeColor="background2" w:themeShade="80"/>
          <w:sz w:val="24"/>
          <w:szCs w:val="24"/>
        </w:rPr>
        <w:t>Our SEND pupils with a statement also exceeded the APS for pupils nationally in all areas.</w:t>
      </w:r>
    </w:p>
    <w:p w:rsidR="007B6C7A" w:rsidRDefault="007B6C7A" w:rsidP="007B6C7A">
      <w:pPr>
        <w:rPr>
          <w:color w:val="948A54" w:themeColor="background2" w:themeShade="80"/>
          <w:sz w:val="24"/>
          <w:szCs w:val="24"/>
        </w:rPr>
      </w:pPr>
      <w:r>
        <w:rPr>
          <w:color w:val="948A54" w:themeColor="background2" w:themeShade="80"/>
          <w:sz w:val="24"/>
          <w:szCs w:val="24"/>
        </w:rPr>
        <w:t>So we can see that achievement for all pupils is high.</w:t>
      </w:r>
    </w:p>
    <w:p w:rsidR="007B6C7A" w:rsidRPr="00903561" w:rsidRDefault="007B6C7A" w:rsidP="007B6C7A">
      <w:pPr>
        <w:rPr>
          <w:b/>
          <w:color w:val="948A54" w:themeColor="background2" w:themeShade="80"/>
          <w:sz w:val="24"/>
          <w:szCs w:val="24"/>
        </w:rPr>
      </w:pPr>
      <w:r w:rsidRPr="00903561">
        <w:rPr>
          <w:b/>
          <w:color w:val="948A54" w:themeColor="background2" w:themeShade="80"/>
          <w:sz w:val="24"/>
          <w:szCs w:val="24"/>
        </w:rPr>
        <w:t>Year 1 Phonics Test</w:t>
      </w:r>
    </w:p>
    <w:p w:rsidR="007B6C7A" w:rsidRDefault="007B6C7A" w:rsidP="007B6C7A">
      <w:pPr>
        <w:rPr>
          <w:color w:val="948A54" w:themeColor="background2" w:themeShade="80"/>
          <w:sz w:val="24"/>
          <w:szCs w:val="24"/>
        </w:rPr>
      </w:pPr>
      <w:r>
        <w:rPr>
          <w:color w:val="948A54" w:themeColor="background2" w:themeShade="80"/>
          <w:sz w:val="24"/>
          <w:szCs w:val="24"/>
        </w:rPr>
        <w:lastRenderedPageBreak/>
        <w:t>Throughout KS1 we teach letters and sounds curriculum to pupils in streamed groups. We can see how effective this has been this year as 91% of our pupils passed the screening test as opposed to a national result of 77%. One of our pupils who did not pass has severe SEND and was unable to participate in the national curriculum but was taught on an individual timetable. Pupils from all groups exceeded scores nationally.</w:t>
      </w:r>
    </w:p>
    <w:p w:rsidR="007B6C7A" w:rsidRPr="00042961" w:rsidRDefault="007B6C7A" w:rsidP="007B6C7A">
      <w:pPr>
        <w:rPr>
          <w:b/>
          <w:color w:val="948A54" w:themeColor="background2" w:themeShade="80"/>
          <w:sz w:val="24"/>
          <w:szCs w:val="24"/>
        </w:rPr>
      </w:pPr>
      <w:r>
        <w:rPr>
          <w:b/>
          <w:color w:val="948A54" w:themeColor="background2" w:themeShade="80"/>
          <w:sz w:val="24"/>
          <w:szCs w:val="24"/>
        </w:rPr>
        <w:t>K</w:t>
      </w:r>
      <w:r w:rsidRPr="00042961">
        <w:rPr>
          <w:b/>
          <w:color w:val="948A54" w:themeColor="background2" w:themeShade="80"/>
          <w:sz w:val="24"/>
          <w:szCs w:val="24"/>
        </w:rPr>
        <w:t>ey Stage 1</w:t>
      </w:r>
    </w:p>
    <w:p w:rsidR="007B6C7A" w:rsidRPr="00903561" w:rsidRDefault="007B6C7A" w:rsidP="007B6C7A">
      <w:pPr>
        <w:rPr>
          <w:color w:val="948A54" w:themeColor="background2" w:themeShade="80"/>
          <w:sz w:val="24"/>
          <w:szCs w:val="24"/>
        </w:rPr>
      </w:pPr>
      <w:r>
        <w:rPr>
          <w:color w:val="948A54" w:themeColor="background2" w:themeShade="80"/>
          <w:sz w:val="24"/>
          <w:szCs w:val="24"/>
        </w:rPr>
        <w:t>Our results at Key Stage 1 were significantly above national in all areas, in particular at L2A+ and L3+</w:t>
      </w:r>
    </w:p>
    <w:tbl>
      <w:tblPr>
        <w:tblStyle w:val="TableGrid"/>
        <w:tblpPr w:leftFromText="180" w:rightFromText="180" w:vertAnchor="text" w:horzAnchor="margin" w:tblpY="174"/>
        <w:tblW w:w="0" w:type="auto"/>
        <w:tblLook w:val="04A0"/>
      </w:tblPr>
      <w:tblGrid>
        <w:gridCol w:w="2310"/>
        <w:gridCol w:w="2310"/>
        <w:gridCol w:w="2311"/>
        <w:gridCol w:w="2311"/>
      </w:tblGrid>
      <w:tr w:rsidR="007B6C7A" w:rsidTr="00447D6A">
        <w:tc>
          <w:tcPr>
            <w:tcW w:w="2310" w:type="dxa"/>
            <w:shd w:val="clear" w:color="auto" w:fill="D9D9D9" w:themeFill="background1" w:themeFillShade="D9"/>
          </w:tcPr>
          <w:p w:rsidR="007B6C7A" w:rsidRDefault="007B6C7A" w:rsidP="00447D6A">
            <w:pPr>
              <w:rPr>
                <w:color w:val="948A54" w:themeColor="background2" w:themeShade="80"/>
                <w:sz w:val="24"/>
                <w:szCs w:val="24"/>
              </w:rPr>
            </w:pPr>
          </w:p>
        </w:tc>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2A+(</w:t>
            </w:r>
            <w:proofErr w:type="spellStart"/>
            <w:r>
              <w:rPr>
                <w:color w:val="948A54" w:themeColor="background2" w:themeShade="80"/>
                <w:sz w:val="24"/>
                <w:szCs w:val="24"/>
              </w:rPr>
              <w:t>nat</w:t>
            </w:r>
            <w:proofErr w:type="spellEnd"/>
            <w:r>
              <w:rPr>
                <w:color w:val="948A54" w:themeColor="background2" w:themeShade="80"/>
                <w:sz w:val="24"/>
                <w:szCs w:val="24"/>
              </w:rPr>
              <w:t>)</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L3+ (</w:t>
            </w:r>
            <w:proofErr w:type="spellStart"/>
            <w:r>
              <w:rPr>
                <w:color w:val="948A54" w:themeColor="background2" w:themeShade="80"/>
                <w:sz w:val="24"/>
                <w:szCs w:val="24"/>
              </w:rPr>
              <w:t>nat</w:t>
            </w:r>
            <w:proofErr w:type="spellEnd"/>
            <w:r>
              <w:rPr>
                <w:color w:val="948A54" w:themeColor="background2" w:themeShade="80"/>
                <w:sz w:val="24"/>
                <w:szCs w:val="24"/>
              </w:rPr>
              <w:t>)</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APS (</w:t>
            </w:r>
            <w:proofErr w:type="spellStart"/>
            <w:r>
              <w:rPr>
                <w:color w:val="948A54" w:themeColor="background2" w:themeShade="80"/>
                <w:sz w:val="24"/>
                <w:szCs w:val="24"/>
              </w:rPr>
              <w:t>nat</w:t>
            </w:r>
            <w:proofErr w:type="spellEnd"/>
            <w:r>
              <w:rPr>
                <w:color w:val="948A54" w:themeColor="background2" w:themeShade="80"/>
                <w:sz w:val="24"/>
                <w:szCs w:val="24"/>
              </w:rPr>
              <w:t>)</w:t>
            </w:r>
          </w:p>
        </w:tc>
      </w:tr>
      <w:tr w:rsidR="007B6C7A" w:rsidTr="00447D6A">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Reading</w:t>
            </w:r>
          </w:p>
        </w:tc>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73% (62%)</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43% (32%)</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17.3 (16.6)</w:t>
            </w:r>
          </w:p>
        </w:tc>
      </w:tr>
      <w:tr w:rsidR="007B6C7A" w:rsidTr="00447D6A">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Writing</w:t>
            </w:r>
          </w:p>
        </w:tc>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50% (41%)</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27% (18%)</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16.4 (15.3)</w:t>
            </w:r>
          </w:p>
        </w:tc>
      </w:tr>
      <w:tr w:rsidR="007B6C7A" w:rsidTr="00447D6A">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Maths</w:t>
            </w:r>
          </w:p>
        </w:tc>
        <w:tc>
          <w:tcPr>
            <w:tcW w:w="2310" w:type="dxa"/>
          </w:tcPr>
          <w:p w:rsidR="007B6C7A" w:rsidRDefault="007B6C7A" w:rsidP="00447D6A">
            <w:pPr>
              <w:rPr>
                <w:color w:val="948A54" w:themeColor="background2" w:themeShade="80"/>
                <w:sz w:val="24"/>
                <w:szCs w:val="24"/>
              </w:rPr>
            </w:pPr>
            <w:r>
              <w:rPr>
                <w:color w:val="948A54" w:themeColor="background2" w:themeShade="80"/>
                <w:sz w:val="24"/>
                <w:szCs w:val="24"/>
              </w:rPr>
              <w:t>57% (55%)</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37% (26%)</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17.1 (16.3)</w:t>
            </w:r>
          </w:p>
        </w:tc>
      </w:tr>
      <w:tr w:rsidR="007B6C7A" w:rsidTr="00447D6A">
        <w:tc>
          <w:tcPr>
            <w:tcW w:w="2310" w:type="dxa"/>
            <w:shd w:val="clear" w:color="auto" w:fill="D9D9D9" w:themeFill="background1" w:themeFillShade="D9"/>
          </w:tcPr>
          <w:p w:rsidR="007B6C7A" w:rsidRDefault="007B6C7A" w:rsidP="00447D6A">
            <w:pPr>
              <w:rPr>
                <w:color w:val="948A54" w:themeColor="background2" w:themeShade="80"/>
                <w:sz w:val="24"/>
                <w:szCs w:val="24"/>
              </w:rPr>
            </w:pPr>
          </w:p>
        </w:tc>
        <w:tc>
          <w:tcPr>
            <w:tcW w:w="2310" w:type="dxa"/>
            <w:shd w:val="clear" w:color="auto" w:fill="D9D9D9" w:themeFill="background1" w:themeFillShade="D9"/>
          </w:tcPr>
          <w:p w:rsidR="007B6C7A" w:rsidRDefault="007B6C7A" w:rsidP="00447D6A">
            <w:pPr>
              <w:rPr>
                <w:color w:val="948A54" w:themeColor="background2" w:themeShade="80"/>
                <w:sz w:val="24"/>
                <w:szCs w:val="24"/>
              </w:rPr>
            </w:pP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ALL</w:t>
            </w:r>
          </w:p>
        </w:tc>
        <w:tc>
          <w:tcPr>
            <w:tcW w:w="2311" w:type="dxa"/>
          </w:tcPr>
          <w:p w:rsidR="007B6C7A" w:rsidRDefault="007B6C7A" w:rsidP="00447D6A">
            <w:pPr>
              <w:rPr>
                <w:color w:val="948A54" w:themeColor="background2" w:themeShade="80"/>
                <w:sz w:val="24"/>
                <w:szCs w:val="24"/>
              </w:rPr>
            </w:pPr>
            <w:r>
              <w:rPr>
                <w:color w:val="948A54" w:themeColor="background2" w:themeShade="80"/>
                <w:sz w:val="24"/>
                <w:szCs w:val="24"/>
              </w:rPr>
              <w:t>16.9 (16.1)</w:t>
            </w:r>
          </w:p>
        </w:tc>
      </w:tr>
    </w:tbl>
    <w:p w:rsidR="007B6C7A" w:rsidRPr="00025520" w:rsidRDefault="007B6C7A" w:rsidP="007B6C7A">
      <w:pPr>
        <w:rPr>
          <w:b/>
          <w:color w:val="948A54" w:themeColor="background2" w:themeShade="80"/>
          <w:sz w:val="24"/>
          <w:szCs w:val="24"/>
        </w:rPr>
      </w:pPr>
    </w:p>
    <w:p w:rsidR="007B6C7A" w:rsidRDefault="007B6C7A" w:rsidP="007B6C7A">
      <w:pPr>
        <w:rPr>
          <w:color w:val="948A54" w:themeColor="background2" w:themeShade="80"/>
          <w:sz w:val="24"/>
          <w:szCs w:val="24"/>
        </w:rPr>
      </w:pPr>
      <w:r w:rsidRPr="00335933">
        <w:rPr>
          <w:color w:val="948A54" w:themeColor="background2" w:themeShade="80"/>
          <w:sz w:val="24"/>
          <w:szCs w:val="24"/>
        </w:rPr>
        <w:t>Our BME children performed in line with national and peers</w:t>
      </w:r>
      <w:r>
        <w:rPr>
          <w:color w:val="948A54" w:themeColor="background2" w:themeShade="80"/>
          <w:sz w:val="24"/>
          <w:szCs w:val="24"/>
        </w:rPr>
        <w:t>, children with SEND performed in line with similar children nationally.</w:t>
      </w:r>
    </w:p>
    <w:p w:rsidR="007B6C7A" w:rsidRPr="00335933" w:rsidRDefault="007B6C7A" w:rsidP="007B6C7A">
      <w:pPr>
        <w:rPr>
          <w:b/>
          <w:color w:val="948A54" w:themeColor="background2" w:themeShade="80"/>
          <w:sz w:val="24"/>
          <w:szCs w:val="24"/>
        </w:rPr>
      </w:pPr>
      <w:r w:rsidRPr="00335933">
        <w:rPr>
          <w:b/>
          <w:color w:val="948A54" w:themeColor="background2" w:themeShade="80"/>
          <w:sz w:val="24"/>
          <w:szCs w:val="24"/>
        </w:rPr>
        <w:t>Across the rest of the school</w:t>
      </w:r>
    </w:p>
    <w:p w:rsidR="007B6C7A" w:rsidRDefault="007B6C7A" w:rsidP="007B6C7A">
      <w:pPr>
        <w:rPr>
          <w:color w:val="948A54" w:themeColor="background2" w:themeShade="80"/>
          <w:sz w:val="24"/>
          <w:szCs w:val="24"/>
        </w:rPr>
      </w:pPr>
      <w:r>
        <w:rPr>
          <w:color w:val="948A54" w:themeColor="background2" w:themeShade="80"/>
          <w:sz w:val="24"/>
          <w:szCs w:val="24"/>
        </w:rPr>
        <w:t>Despite moving to a new system of assessment last year, based on the new national curriculum, during this transitional year, we continued to measure the progress of pupils against the old curriculum standards to ensure that we could keep a close eye on progress.</w:t>
      </w:r>
    </w:p>
    <w:p w:rsidR="007B6C7A" w:rsidRDefault="007B6C7A" w:rsidP="007B6C7A">
      <w:pPr>
        <w:rPr>
          <w:color w:val="948A54" w:themeColor="background2" w:themeShade="80"/>
          <w:sz w:val="24"/>
          <w:szCs w:val="24"/>
        </w:rPr>
      </w:pPr>
      <w:r>
        <w:rPr>
          <w:color w:val="948A54" w:themeColor="background2" w:themeShade="80"/>
          <w:sz w:val="24"/>
          <w:szCs w:val="24"/>
        </w:rPr>
        <w:t xml:space="preserve">Average progress across KS2 was: Reading 3.4, Writing 3.3 and Maths 3.3 </w:t>
      </w:r>
    </w:p>
    <w:p w:rsidR="007B6C7A" w:rsidRDefault="007B6C7A" w:rsidP="007B6C7A">
      <w:pPr>
        <w:rPr>
          <w:color w:val="948A54" w:themeColor="background2" w:themeShade="80"/>
          <w:sz w:val="24"/>
          <w:szCs w:val="24"/>
        </w:rPr>
      </w:pPr>
      <w:r>
        <w:rPr>
          <w:color w:val="948A54" w:themeColor="background2" w:themeShade="80"/>
          <w:sz w:val="24"/>
          <w:szCs w:val="24"/>
        </w:rPr>
        <w:t>Which shows pupils making above average progress.</w:t>
      </w:r>
    </w:p>
    <w:p w:rsidR="007B6C7A" w:rsidRDefault="007B6C7A"/>
    <w:p w:rsidR="007B6C7A" w:rsidRDefault="007B6C7A"/>
    <w:sectPr w:rsidR="007B6C7A" w:rsidSect="001863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6C7A"/>
    <w:rsid w:val="001863D2"/>
    <w:rsid w:val="007B6C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Company>Padstow CP School</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2015-11-06T15:39:00Z</dcterms:created>
  <dcterms:modified xsi:type="dcterms:W3CDTF">2015-11-06T15:44:00Z</dcterms:modified>
</cp:coreProperties>
</file>