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E2" w:rsidRDefault="00342CF5">
      <w:pPr>
        <w:rPr>
          <w:rFonts w:ascii="Comic Sans MS" w:hAnsi="Comic Sans MS"/>
          <w:b/>
          <w:sz w:val="24"/>
          <w:szCs w:val="24"/>
        </w:rPr>
      </w:pPr>
      <w:r>
        <w:rPr>
          <w:rFonts w:ascii="Comic Sans MS" w:hAnsi="Comic Sans MS"/>
          <w:b/>
          <w:noProof/>
          <w:sz w:val="24"/>
          <w:szCs w:val="24"/>
          <w:lang w:eastAsia="en-GB"/>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pic:spPr>
                </pic:pic>
              </a:graphicData>
            </a:graphic>
          </wp:inline>
        </w:drawing>
      </w:r>
      <w:r>
        <w:rPr>
          <w:rFonts w:ascii="Comic Sans MS" w:hAnsi="Comic Sans MS"/>
          <w:b/>
          <w:sz w:val="24"/>
          <w:szCs w:val="24"/>
        </w:rPr>
        <w:t>St Minver 2014 National Curriculum long term overview</w:t>
      </w:r>
    </w:p>
    <w:p w:rsidR="00342CF5" w:rsidRDefault="00342CF5">
      <w:pPr>
        <w:rPr>
          <w:rFonts w:ascii="Comic Sans MS" w:hAnsi="Comic Sans MS"/>
          <w:b/>
          <w:sz w:val="24"/>
          <w:szCs w:val="24"/>
        </w:rPr>
      </w:pPr>
      <w:r>
        <w:rPr>
          <w:rFonts w:ascii="Comic Sans MS" w:hAnsi="Comic Sans MS"/>
          <w:b/>
          <w:sz w:val="24"/>
          <w:szCs w:val="24"/>
        </w:rPr>
        <w:t xml:space="preserve">Subject:  </w:t>
      </w:r>
      <w:r w:rsidR="00DA6C34">
        <w:rPr>
          <w:rFonts w:ascii="Comic Sans MS" w:hAnsi="Comic Sans MS"/>
          <w:b/>
          <w:sz w:val="24"/>
          <w:szCs w:val="24"/>
        </w:rPr>
        <w:t>History</w:t>
      </w:r>
    </w:p>
    <w:tbl>
      <w:tblPr>
        <w:tblStyle w:val="TableGrid"/>
        <w:tblW w:w="0" w:type="auto"/>
        <w:tblLook w:val="04A0"/>
      </w:tblPr>
      <w:tblGrid>
        <w:gridCol w:w="2475"/>
        <w:gridCol w:w="6767"/>
      </w:tblGrid>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Aims</w:t>
            </w:r>
          </w:p>
        </w:tc>
        <w:tc>
          <w:tcPr>
            <w:tcW w:w="6767" w:type="dxa"/>
          </w:tcPr>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Aims</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The national curriculum for history aims to ensure that all pupils:</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know and understand the history of these islands as a coherent, chronological narrative, from the earliest times to the present day: how people’s lives have shaped this nation and how Britain has influenced and been influenced by the wider world</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know and understand significant aspects of the history of the wider world: the nature of ancient civilisations; the expansion and dissolution of empires; characteristic features of past non-European societies; achievements and follies of mankind</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gain and deploy a historically grounded understanding of abstract terms such as ‘empire’, ‘civilisation’, ‘parliament’ and ‘peasantry’</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understand the methods of historical enquiry, including how evidence is used rigorously to make historical claims, and discern how and why contrasting arguments and interpretations of the past have been constructed</w:t>
            </w:r>
          </w:p>
          <w:p w:rsidR="00342CF5" w:rsidRPr="00DA6C34" w:rsidRDefault="00DC712F" w:rsidP="00DC712F">
            <w:pPr>
              <w:pStyle w:val="Default"/>
              <w:rPr>
                <w:rFonts w:ascii="Comic Sans MS" w:hAnsi="Comic Sans MS"/>
                <w:b/>
                <w:sz w:val="20"/>
                <w:szCs w:val="20"/>
              </w:rPr>
            </w:pPr>
            <w:r w:rsidRPr="00DC712F">
              <w:rPr>
                <w:sz w:val="20"/>
                <w:szCs w:val="20"/>
              </w:rPr>
              <w:t></w:t>
            </w:r>
            <w:r w:rsidRPr="00DC712F">
              <w:rPr>
                <w:sz w:val="20"/>
                <w:szCs w:val="20"/>
              </w:rPr>
              <w:tab/>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r w:rsidR="00342CF5" w:rsidTr="00103EB8">
        <w:trPr>
          <w:trHeight w:val="3167"/>
        </w:trPr>
        <w:tc>
          <w:tcPr>
            <w:tcW w:w="2475" w:type="dxa"/>
          </w:tcPr>
          <w:p w:rsidR="00342CF5" w:rsidRDefault="00342CF5">
            <w:pPr>
              <w:rPr>
                <w:rFonts w:ascii="Comic Sans MS" w:hAnsi="Comic Sans MS"/>
                <w:b/>
                <w:sz w:val="24"/>
                <w:szCs w:val="24"/>
              </w:rPr>
            </w:pPr>
            <w:r>
              <w:rPr>
                <w:rFonts w:ascii="Comic Sans MS" w:hAnsi="Comic Sans MS"/>
                <w:b/>
                <w:sz w:val="24"/>
                <w:szCs w:val="24"/>
              </w:rPr>
              <w:t>Subject Content</w:t>
            </w:r>
          </w:p>
        </w:tc>
        <w:tc>
          <w:tcPr>
            <w:tcW w:w="6767" w:type="dxa"/>
          </w:tcPr>
          <w:p w:rsidR="00DA6C34" w:rsidRPr="00DA6C34" w:rsidRDefault="00DA6C34" w:rsidP="00DA6C34">
            <w:pPr>
              <w:autoSpaceDE w:val="0"/>
              <w:autoSpaceDN w:val="0"/>
              <w:adjustRightInd w:val="0"/>
              <w:rPr>
                <w:rFonts w:ascii="Arial" w:hAnsi="Arial" w:cs="Arial"/>
                <w:color w:val="000000"/>
                <w:sz w:val="20"/>
                <w:szCs w:val="20"/>
              </w:rPr>
            </w:pPr>
            <w:r w:rsidRPr="00DA6C34">
              <w:rPr>
                <w:rFonts w:ascii="Arial" w:hAnsi="Arial" w:cs="Arial"/>
                <w:b/>
                <w:bCs/>
                <w:color w:val="000000"/>
                <w:sz w:val="20"/>
                <w:szCs w:val="20"/>
              </w:rPr>
              <w:t xml:space="preserve">Key Stage 1 </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In planning to ensure the progression described above through teaching about the people, events and changes outlined below, teachers are often introducing pupils to historical periods that they will study more fully at key stages 2 and 3.</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Pupils should be taught about:</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changes within living memory. Where appropriate, these should be used to reveal aspects of change in national life</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events beyond living memory that are significant nationally or globally [for example, the Great Fire of London, the first aeroplane flight or events commemorated through festivals or anniversaries]</w:t>
            </w:r>
          </w:p>
          <w:p w:rsidR="00DC712F" w:rsidRPr="00DC712F"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w:t>
            </w:r>
            <w:r w:rsidRPr="00DC712F">
              <w:rPr>
                <w:rFonts w:ascii="Arial" w:hAnsi="Arial" w:cs="Arial"/>
                <w:color w:val="000000"/>
                <w:sz w:val="20"/>
                <w:szCs w:val="20"/>
              </w:rPr>
              <w:lastRenderedPageBreak/>
              <w:t>Nightingale and Edith Cavell]</w:t>
            </w:r>
          </w:p>
          <w:p w:rsidR="00DA6C34" w:rsidRPr="00DA6C34" w:rsidRDefault="00DC712F" w:rsidP="00DC712F">
            <w:pPr>
              <w:autoSpaceDE w:val="0"/>
              <w:autoSpaceDN w:val="0"/>
              <w:adjustRightInd w:val="0"/>
              <w:rPr>
                <w:rFonts w:ascii="Arial" w:hAnsi="Arial" w:cs="Arial"/>
                <w:color w:val="000000"/>
                <w:sz w:val="20"/>
                <w:szCs w:val="20"/>
              </w:rPr>
            </w:pPr>
            <w:r w:rsidRPr="00DC712F">
              <w:rPr>
                <w:rFonts w:ascii="Arial" w:hAnsi="Arial" w:cs="Arial"/>
                <w:color w:val="000000"/>
                <w:sz w:val="20"/>
                <w:szCs w:val="20"/>
              </w:rPr>
              <w:t></w:t>
            </w:r>
            <w:r w:rsidRPr="00DC712F">
              <w:rPr>
                <w:rFonts w:ascii="Arial" w:hAnsi="Arial" w:cs="Arial"/>
                <w:color w:val="000000"/>
                <w:sz w:val="20"/>
                <w:szCs w:val="20"/>
              </w:rPr>
              <w:tab/>
              <w:t>significant historical events, people and places in their own locality.</w:t>
            </w:r>
          </w:p>
          <w:p w:rsidR="00DC712F" w:rsidRDefault="00DC712F" w:rsidP="00DA6C34">
            <w:pPr>
              <w:autoSpaceDE w:val="0"/>
              <w:autoSpaceDN w:val="0"/>
              <w:adjustRightInd w:val="0"/>
              <w:rPr>
                <w:rFonts w:ascii="Arial" w:hAnsi="Arial" w:cs="Arial"/>
                <w:b/>
                <w:bCs/>
                <w:color w:val="000000"/>
                <w:sz w:val="20"/>
                <w:szCs w:val="20"/>
              </w:rPr>
            </w:pPr>
          </w:p>
          <w:p w:rsidR="00DA6C34" w:rsidRPr="00DA6C34" w:rsidRDefault="00DA6C34" w:rsidP="00DA6C34">
            <w:pPr>
              <w:autoSpaceDE w:val="0"/>
              <w:autoSpaceDN w:val="0"/>
              <w:adjustRightInd w:val="0"/>
              <w:rPr>
                <w:rFonts w:ascii="Arial" w:hAnsi="Arial" w:cs="Arial"/>
                <w:color w:val="000000"/>
                <w:sz w:val="20"/>
                <w:szCs w:val="20"/>
              </w:rPr>
            </w:pPr>
            <w:r w:rsidRPr="00DA6C34">
              <w:rPr>
                <w:rFonts w:ascii="Arial" w:hAnsi="Arial" w:cs="Arial"/>
                <w:b/>
                <w:bCs/>
                <w:color w:val="000000"/>
                <w:sz w:val="20"/>
                <w:szCs w:val="20"/>
              </w:rPr>
              <w:t xml:space="preserve">Key Stage 2 </w:t>
            </w:r>
          </w:p>
          <w:p w:rsidR="00DC712F" w:rsidRPr="00DC712F" w:rsidRDefault="00DC712F" w:rsidP="00DC712F">
            <w:pPr>
              <w:autoSpaceDE w:val="0"/>
              <w:autoSpaceDN w:val="0"/>
              <w:adjustRightInd w:val="0"/>
              <w:rPr>
                <w:sz w:val="20"/>
                <w:szCs w:val="20"/>
              </w:rPr>
            </w:pPr>
            <w:r w:rsidRPr="00DC712F">
              <w:rPr>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DC712F" w:rsidRPr="00DC712F" w:rsidRDefault="00DC712F" w:rsidP="00DC712F">
            <w:pPr>
              <w:autoSpaceDE w:val="0"/>
              <w:autoSpaceDN w:val="0"/>
              <w:adjustRightInd w:val="0"/>
              <w:rPr>
                <w:sz w:val="20"/>
                <w:szCs w:val="20"/>
              </w:rPr>
            </w:pPr>
            <w:r w:rsidRPr="00DC712F">
              <w:rPr>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DC712F" w:rsidRPr="00DC712F" w:rsidRDefault="00DC712F" w:rsidP="00DC712F">
            <w:pPr>
              <w:autoSpaceDE w:val="0"/>
              <w:autoSpaceDN w:val="0"/>
              <w:adjustRightInd w:val="0"/>
              <w:rPr>
                <w:sz w:val="20"/>
                <w:szCs w:val="20"/>
              </w:rPr>
            </w:pPr>
            <w:r w:rsidRPr="00DC712F">
              <w:rPr>
                <w:sz w:val="20"/>
                <w:szCs w:val="20"/>
              </w:rPr>
              <w:t>Pupils should be taught about:</w:t>
            </w:r>
          </w:p>
          <w:p w:rsidR="00342CF5" w:rsidRDefault="00DC712F" w:rsidP="00DC712F">
            <w:pPr>
              <w:autoSpaceDE w:val="0"/>
              <w:autoSpaceDN w:val="0"/>
              <w:adjustRightInd w:val="0"/>
              <w:rPr>
                <w:sz w:val="20"/>
                <w:szCs w:val="20"/>
              </w:rPr>
            </w:pPr>
            <w:r w:rsidRPr="00DC712F">
              <w:rPr>
                <w:sz w:val="20"/>
                <w:szCs w:val="20"/>
              </w:rPr>
              <w:t></w:t>
            </w:r>
            <w:r w:rsidRPr="00DC712F">
              <w:rPr>
                <w:sz w:val="20"/>
                <w:szCs w:val="20"/>
              </w:rPr>
              <w:tab/>
              <w:t>changes in Britain from the Stone Age to the Iron Age</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the Roman Empire and its impact on Britain</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Britain’s settlement by Anglo-Saxons and Scots</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the Viking and Anglo-Saxon struggle for the Kingdom of England to the time of Edward the Confessor</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a local history study</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a study of an aspect or theme in British history that extends pupils’ chronological knowledge beyond 1066</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the achievements of the earliest civilizations – an overview of where and when the first civilizations appeared and a depth study of one of the following: Ancient Sumer; The Indus Valley; Ancient Egypt; The Shang Dynasty of Ancient China</w:t>
            </w:r>
          </w:p>
          <w:p w:rsidR="00DC712F" w:rsidRDefault="00DC712F" w:rsidP="00DC712F">
            <w:pPr>
              <w:autoSpaceDE w:val="0"/>
              <w:autoSpaceDN w:val="0"/>
              <w:adjustRightInd w:val="0"/>
              <w:rPr>
                <w:sz w:val="20"/>
                <w:szCs w:val="20"/>
              </w:rPr>
            </w:pPr>
            <w:r w:rsidRPr="00DC712F">
              <w:rPr>
                <w:sz w:val="20"/>
                <w:szCs w:val="20"/>
              </w:rPr>
              <w:t></w:t>
            </w:r>
            <w:r w:rsidRPr="00DC712F">
              <w:rPr>
                <w:sz w:val="20"/>
                <w:szCs w:val="20"/>
              </w:rPr>
              <w:tab/>
              <w:t>Ancient Greece – a study of Greek life and achievements and their influence on the western world</w:t>
            </w:r>
          </w:p>
          <w:p w:rsidR="00DC712F" w:rsidRPr="00DA6C34" w:rsidRDefault="00DC712F" w:rsidP="00DC712F">
            <w:pPr>
              <w:autoSpaceDE w:val="0"/>
              <w:autoSpaceDN w:val="0"/>
              <w:adjustRightInd w:val="0"/>
              <w:rPr>
                <w:sz w:val="20"/>
                <w:szCs w:val="20"/>
              </w:rPr>
            </w:pPr>
            <w:r w:rsidRPr="00DC712F">
              <w:rPr>
                <w:sz w:val="20"/>
                <w:szCs w:val="20"/>
              </w:rPr>
              <w:t></w:t>
            </w:r>
            <w:r w:rsidRPr="00DC712F">
              <w:rPr>
                <w:sz w:val="20"/>
                <w:szCs w:val="20"/>
              </w:rPr>
              <w:tab/>
              <w:t>a non-European society that provides contrasts with British history – one study chosen from: early Islamic civilization, including a study of Baghdad c. AD 900; Mayan civilization c. AD 900; Benin (West Africa) c. AD 900-1300.</w:t>
            </w:r>
          </w:p>
        </w:tc>
      </w:tr>
    </w:tbl>
    <w:p w:rsidR="002D1A28" w:rsidRDefault="002D1A28">
      <w:pPr>
        <w:rPr>
          <w:rFonts w:ascii="Comic Sans MS" w:hAnsi="Comic Sans MS"/>
          <w:b/>
          <w:sz w:val="24"/>
          <w:szCs w:val="24"/>
        </w:rPr>
      </w:pPr>
    </w:p>
    <w:tbl>
      <w:tblPr>
        <w:tblStyle w:val="TableGrid"/>
        <w:tblW w:w="0" w:type="auto"/>
        <w:tblLook w:val="04A0"/>
      </w:tblPr>
      <w:tblGrid>
        <w:gridCol w:w="2376"/>
        <w:gridCol w:w="6866"/>
      </w:tblGrid>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Year</w:t>
            </w:r>
          </w:p>
        </w:tc>
        <w:tc>
          <w:tcPr>
            <w:tcW w:w="6866" w:type="dxa"/>
          </w:tcPr>
          <w:p w:rsidR="00342CF5" w:rsidRDefault="00342CF5">
            <w:pPr>
              <w:rPr>
                <w:rFonts w:ascii="Comic Sans MS" w:hAnsi="Comic Sans MS"/>
                <w:b/>
                <w:sz w:val="24"/>
                <w:szCs w:val="24"/>
              </w:rPr>
            </w:pPr>
            <w:r>
              <w:rPr>
                <w:rFonts w:ascii="Comic Sans MS" w:hAnsi="Comic Sans MS"/>
                <w:b/>
                <w:sz w:val="24"/>
                <w:szCs w:val="24"/>
              </w:rPr>
              <w:t>Topics covered/progression</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1</w:t>
            </w:r>
          </w:p>
        </w:tc>
        <w:tc>
          <w:tcPr>
            <w:tcW w:w="6866" w:type="dxa"/>
          </w:tcPr>
          <w:p w:rsidR="00342CF5" w:rsidRDefault="00E1606E">
            <w:pPr>
              <w:rPr>
                <w:rFonts w:ascii="Comic Sans MS" w:hAnsi="Comic Sans MS"/>
                <w:b/>
                <w:sz w:val="24"/>
                <w:szCs w:val="24"/>
              </w:rPr>
            </w:pPr>
            <w:r>
              <w:rPr>
                <w:rFonts w:ascii="Comic Sans MS" w:hAnsi="Comic Sans MS"/>
                <w:b/>
                <w:sz w:val="24"/>
                <w:szCs w:val="24"/>
              </w:rPr>
              <w:t>The Plaque</w:t>
            </w:r>
          </w:p>
          <w:p w:rsidR="003F1597" w:rsidRDefault="00E1606E">
            <w:pPr>
              <w:rPr>
                <w:rFonts w:ascii="Comic Sans MS" w:hAnsi="Comic Sans MS"/>
                <w:b/>
                <w:sz w:val="24"/>
                <w:szCs w:val="24"/>
              </w:rPr>
            </w:pPr>
            <w:r>
              <w:rPr>
                <w:rFonts w:ascii="Comic Sans MS" w:hAnsi="Comic Sans MS"/>
                <w:b/>
                <w:sz w:val="24"/>
                <w:szCs w:val="24"/>
              </w:rPr>
              <w:t>Vincent Van Gogh</w:t>
            </w:r>
          </w:p>
          <w:p w:rsidR="00E1606E" w:rsidRDefault="00E1606E">
            <w:pPr>
              <w:rPr>
                <w:rFonts w:ascii="Comic Sans MS" w:hAnsi="Comic Sans MS"/>
                <w:b/>
                <w:sz w:val="24"/>
                <w:szCs w:val="24"/>
              </w:rPr>
            </w:pPr>
            <w:r>
              <w:rPr>
                <w:rFonts w:ascii="Comic Sans MS" w:hAnsi="Comic Sans MS"/>
                <w:b/>
                <w:sz w:val="24"/>
                <w:szCs w:val="24"/>
              </w:rPr>
              <w:t>Lanhydrock House</w:t>
            </w:r>
          </w:p>
          <w:p w:rsidR="003E39B0" w:rsidRDefault="003E39B0">
            <w:pPr>
              <w:rPr>
                <w:rFonts w:ascii="Comic Sans MS" w:hAnsi="Comic Sans MS"/>
                <w:b/>
                <w:sz w:val="24"/>
                <w:szCs w:val="24"/>
              </w:rPr>
            </w:pPr>
            <w:r>
              <w:rPr>
                <w:rFonts w:ascii="Comic Sans MS" w:hAnsi="Comic Sans MS"/>
                <w:b/>
                <w:sz w:val="24"/>
                <w:szCs w:val="24"/>
              </w:rPr>
              <w:t>Toys Old and New - Comparisons</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2</w:t>
            </w:r>
          </w:p>
        </w:tc>
        <w:tc>
          <w:tcPr>
            <w:tcW w:w="6866" w:type="dxa"/>
          </w:tcPr>
          <w:p w:rsidR="00342CF5" w:rsidRDefault="00E1606E">
            <w:pPr>
              <w:rPr>
                <w:rFonts w:ascii="Comic Sans MS" w:hAnsi="Comic Sans MS"/>
                <w:b/>
                <w:sz w:val="24"/>
                <w:szCs w:val="24"/>
              </w:rPr>
            </w:pPr>
            <w:r>
              <w:rPr>
                <w:rFonts w:ascii="Comic Sans MS" w:hAnsi="Comic Sans MS"/>
                <w:b/>
                <w:sz w:val="24"/>
                <w:szCs w:val="24"/>
              </w:rPr>
              <w:t>Guy Fawkes</w:t>
            </w:r>
            <w:r w:rsidR="003E39B0">
              <w:rPr>
                <w:rFonts w:ascii="Comic Sans MS" w:hAnsi="Comic Sans MS"/>
                <w:b/>
                <w:sz w:val="24"/>
                <w:szCs w:val="24"/>
              </w:rPr>
              <w:t xml:space="preserve"> and the Gunpowder Plot</w:t>
            </w:r>
            <w:bookmarkStart w:id="0" w:name="_GoBack"/>
            <w:bookmarkEnd w:id="0"/>
          </w:p>
          <w:p w:rsidR="00E1606E" w:rsidRDefault="00E1606E">
            <w:pPr>
              <w:rPr>
                <w:rFonts w:ascii="Comic Sans MS" w:hAnsi="Comic Sans MS"/>
                <w:b/>
                <w:sz w:val="24"/>
                <w:szCs w:val="24"/>
              </w:rPr>
            </w:pPr>
            <w:r>
              <w:rPr>
                <w:rFonts w:ascii="Comic Sans MS" w:hAnsi="Comic Sans MS"/>
                <w:b/>
                <w:sz w:val="24"/>
                <w:szCs w:val="24"/>
              </w:rPr>
              <w:t>Florence Nightingale</w:t>
            </w:r>
          </w:p>
          <w:p w:rsidR="003F1597" w:rsidRDefault="00E1606E">
            <w:pPr>
              <w:rPr>
                <w:rFonts w:ascii="Comic Sans MS" w:hAnsi="Comic Sans MS"/>
                <w:b/>
                <w:sz w:val="24"/>
                <w:szCs w:val="24"/>
              </w:rPr>
            </w:pPr>
            <w:r>
              <w:rPr>
                <w:rFonts w:ascii="Comic Sans MS" w:hAnsi="Comic Sans MS"/>
                <w:b/>
                <w:sz w:val="24"/>
                <w:szCs w:val="24"/>
              </w:rPr>
              <w:t>Padstow Mayday</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3</w:t>
            </w:r>
          </w:p>
        </w:tc>
        <w:tc>
          <w:tcPr>
            <w:tcW w:w="6866" w:type="dxa"/>
          </w:tcPr>
          <w:p w:rsidR="00342CF5" w:rsidRDefault="00CF5AF3">
            <w:pPr>
              <w:rPr>
                <w:rFonts w:ascii="Comic Sans MS" w:hAnsi="Comic Sans MS"/>
                <w:b/>
                <w:sz w:val="24"/>
                <w:szCs w:val="24"/>
              </w:rPr>
            </w:pPr>
            <w:r>
              <w:rPr>
                <w:rFonts w:ascii="Comic Sans MS" w:hAnsi="Comic Sans MS"/>
                <w:b/>
                <w:sz w:val="24"/>
                <w:szCs w:val="24"/>
              </w:rPr>
              <w:t>Stone age to Iron Age</w:t>
            </w:r>
          </w:p>
          <w:p w:rsidR="00CF5AF3" w:rsidRDefault="00CF5AF3">
            <w:pPr>
              <w:rPr>
                <w:rFonts w:ascii="Comic Sans MS" w:hAnsi="Comic Sans MS"/>
                <w:b/>
                <w:sz w:val="24"/>
                <w:szCs w:val="24"/>
              </w:rPr>
            </w:pPr>
            <w:r>
              <w:rPr>
                <w:rFonts w:ascii="Comic Sans MS" w:hAnsi="Comic Sans MS"/>
                <w:b/>
                <w:sz w:val="24"/>
                <w:szCs w:val="24"/>
              </w:rPr>
              <w:t>Roman Empire/Roman Britain</w:t>
            </w:r>
          </w:p>
          <w:p w:rsidR="003F1597" w:rsidRDefault="00CF5AF3">
            <w:pPr>
              <w:rPr>
                <w:rFonts w:ascii="Comic Sans MS" w:hAnsi="Comic Sans MS"/>
                <w:b/>
                <w:sz w:val="24"/>
                <w:szCs w:val="24"/>
              </w:rPr>
            </w:pPr>
            <w:r>
              <w:rPr>
                <w:rFonts w:ascii="Comic Sans MS" w:hAnsi="Comic Sans MS"/>
                <w:b/>
                <w:sz w:val="24"/>
                <w:szCs w:val="24"/>
              </w:rPr>
              <w:t>Settlers – Anglo Saxons</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4</w:t>
            </w:r>
          </w:p>
        </w:tc>
        <w:tc>
          <w:tcPr>
            <w:tcW w:w="6866" w:type="dxa"/>
          </w:tcPr>
          <w:p w:rsidR="00342CF5" w:rsidRDefault="00CF5AF3">
            <w:pPr>
              <w:rPr>
                <w:rFonts w:ascii="Comic Sans MS" w:hAnsi="Comic Sans MS"/>
                <w:b/>
                <w:sz w:val="24"/>
                <w:szCs w:val="24"/>
              </w:rPr>
            </w:pPr>
            <w:r>
              <w:rPr>
                <w:rFonts w:ascii="Comic Sans MS" w:hAnsi="Comic Sans MS"/>
                <w:b/>
                <w:sz w:val="24"/>
                <w:szCs w:val="24"/>
              </w:rPr>
              <w:t>Vikings/Saxon Britain until Edward the Confessor</w:t>
            </w:r>
          </w:p>
          <w:p w:rsidR="00CF5AF3" w:rsidRDefault="00CF5AF3">
            <w:pPr>
              <w:rPr>
                <w:rFonts w:ascii="Comic Sans MS" w:hAnsi="Comic Sans MS"/>
                <w:b/>
                <w:sz w:val="24"/>
                <w:szCs w:val="24"/>
              </w:rPr>
            </w:pPr>
            <w:r>
              <w:rPr>
                <w:rFonts w:ascii="Comic Sans MS" w:hAnsi="Comic Sans MS"/>
                <w:b/>
                <w:sz w:val="24"/>
                <w:szCs w:val="24"/>
              </w:rPr>
              <w:t>Local History –Rock/St Minver</w:t>
            </w:r>
          </w:p>
          <w:p w:rsidR="003F1597" w:rsidRDefault="00CF5AF3">
            <w:pPr>
              <w:rPr>
                <w:rFonts w:ascii="Comic Sans MS" w:hAnsi="Comic Sans MS"/>
                <w:b/>
                <w:sz w:val="24"/>
                <w:szCs w:val="24"/>
              </w:rPr>
            </w:pPr>
            <w:r>
              <w:rPr>
                <w:rFonts w:ascii="Comic Sans MS" w:hAnsi="Comic Sans MS"/>
                <w:b/>
                <w:sz w:val="24"/>
                <w:szCs w:val="24"/>
              </w:rPr>
              <w:lastRenderedPageBreak/>
              <w:t>Ancient Egypt</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lastRenderedPageBreak/>
              <w:t>5</w:t>
            </w:r>
          </w:p>
        </w:tc>
        <w:tc>
          <w:tcPr>
            <w:tcW w:w="6866" w:type="dxa"/>
          </w:tcPr>
          <w:p w:rsidR="00342CF5" w:rsidRDefault="00CF5AF3">
            <w:pPr>
              <w:rPr>
                <w:rFonts w:ascii="Comic Sans MS" w:hAnsi="Comic Sans MS"/>
                <w:b/>
                <w:sz w:val="24"/>
                <w:szCs w:val="24"/>
              </w:rPr>
            </w:pPr>
            <w:r>
              <w:rPr>
                <w:rFonts w:ascii="Comic Sans MS" w:hAnsi="Comic Sans MS"/>
                <w:b/>
                <w:sz w:val="24"/>
                <w:szCs w:val="24"/>
              </w:rPr>
              <w:t xml:space="preserve">Ancient Greece </w:t>
            </w:r>
          </w:p>
          <w:p w:rsidR="003F1597" w:rsidRDefault="00CF5AF3">
            <w:pPr>
              <w:rPr>
                <w:rFonts w:ascii="Comic Sans MS" w:hAnsi="Comic Sans MS"/>
                <w:b/>
                <w:sz w:val="24"/>
                <w:szCs w:val="24"/>
              </w:rPr>
            </w:pPr>
            <w:r>
              <w:rPr>
                <w:rFonts w:ascii="Comic Sans MS" w:hAnsi="Comic Sans MS"/>
                <w:b/>
                <w:sz w:val="24"/>
                <w:szCs w:val="24"/>
              </w:rPr>
              <w:t>Mayan and Aztec Civilisations</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6</w:t>
            </w:r>
          </w:p>
          <w:p w:rsidR="00342CF5" w:rsidRDefault="00342CF5">
            <w:pPr>
              <w:rPr>
                <w:rFonts w:ascii="Comic Sans MS" w:hAnsi="Comic Sans MS"/>
                <w:b/>
                <w:sz w:val="24"/>
                <w:szCs w:val="24"/>
              </w:rPr>
            </w:pPr>
          </w:p>
        </w:tc>
        <w:tc>
          <w:tcPr>
            <w:tcW w:w="6866" w:type="dxa"/>
          </w:tcPr>
          <w:p w:rsidR="007F7B37" w:rsidRDefault="007F7B37" w:rsidP="007F7B37">
            <w:pPr>
              <w:rPr>
                <w:rFonts w:ascii="Comic Sans MS" w:hAnsi="Comic Sans MS"/>
                <w:b/>
                <w:sz w:val="24"/>
                <w:szCs w:val="24"/>
              </w:rPr>
            </w:pPr>
            <w:r>
              <w:rPr>
                <w:rFonts w:ascii="Comic Sans MS" w:hAnsi="Comic Sans MS"/>
                <w:b/>
                <w:sz w:val="24"/>
                <w:szCs w:val="24"/>
              </w:rPr>
              <w:t xml:space="preserve">Beyond 1066 - </w:t>
            </w:r>
            <w:r w:rsidR="00CF5AF3">
              <w:rPr>
                <w:rFonts w:ascii="Comic Sans MS" w:hAnsi="Comic Sans MS"/>
                <w:b/>
                <w:sz w:val="24"/>
                <w:szCs w:val="24"/>
              </w:rPr>
              <w:t>Victorians - Linked to Literacy</w:t>
            </w:r>
          </w:p>
          <w:p w:rsidR="003F1597" w:rsidRDefault="007F7B37" w:rsidP="007F7B37">
            <w:pPr>
              <w:rPr>
                <w:rFonts w:ascii="Comic Sans MS" w:hAnsi="Comic Sans MS"/>
                <w:b/>
                <w:sz w:val="24"/>
                <w:szCs w:val="24"/>
              </w:rPr>
            </w:pPr>
            <w:r>
              <w:rPr>
                <w:rFonts w:ascii="Comic Sans MS" w:hAnsi="Comic Sans MS"/>
                <w:b/>
                <w:sz w:val="24"/>
                <w:szCs w:val="24"/>
              </w:rPr>
              <w:t xml:space="preserve">Beyond 1066 - </w:t>
            </w:r>
            <w:r w:rsidR="00CF5AF3">
              <w:rPr>
                <w:rFonts w:ascii="Comic Sans MS" w:hAnsi="Comic Sans MS"/>
                <w:b/>
                <w:sz w:val="24"/>
                <w:szCs w:val="24"/>
              </w:rPr>
              <w:t xml:space="preserve">World War 2 </w:t>
            </w:r>
            <w:r w:rsidR="009F6715">
              <w:rPr>
                <w:rFonts w:ascii="Comic Sans MS" w:hAnsi="Comic Sans MS"/>
                <w:b/>
                <w:sz w:val="24"/>
                <w:szCs w:val="24"/>
              </w:rPr>
              <w:t>– Linked to Literacy</w:t>
            </w:r>
          </w:p>
        </w:tc>
      </w:tr>
    </w:tbl>
    <w:p w:rsidR="00342CF5" w:rsidRPr="00342CF5" w:rsidRDefault="00342CF5">
      <w:pPr>
        <w:rPr>
          <w:rFonts w:ascii="Comic Sans MS" w:hAnsi="Comic Sans MS"/>
          <w:b/>
          <w:sz w:val="24"/>
          <w:szCs w:val="24"/>
        </w:rPr>
      </w:pPr>
    </w:p>
    <w:sectPr w:rsidR="00342CF5" w:rsidRPr="00342CF5" w:rsidSect="0034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342CF5"/>
    <w:rsid w:val="00103EB8"/>
    <w:rsid w:val="00104AE3"/>
    <w:rsid w:val="002D1A28"/>
    <w:rsid w:val="00342CF5"/>
    <w:rsid w:val="003E39B0"/>
    <w:rsid w:val="003F1597"/>
    <w:rsid w:val="005466E2"/>
    <w:rsid w:val="007624D6"/>
    <w:rsid w:val="007F7B37"/>
    <w:rsid w:val="009E1532"/>
    <w:rsid w:val="009F6715"/>
    <w:rsid w:val="00CF5AF3"/>
    <w:rsid w:val="00DA6C34"/>
    <w:rsid w:val="00DC712F"/>
    <w:rsid w:val="00E160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Howard</dc:creator>
  <cp:lastModifiedBy>Phil</cp:lastModifiedBy>
  <cp:revision>2</cp:revision>
  <dcterms:created xsi:type="dcterms:W3CDTF">2015-11-05T13:55:00Z</dcterms:created>
  <dcterms:modified xsi:type="dcterms:W3CDTF">2015-11-05T13:55:00Z</dcterms:modified>
</cp:coreProperties>
</file>