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418B" w:rsidRPr="002447EB" w:rsidRDefault="002447EB">
      <w:pPr>
        <w:rPr>
          <w:b/>
          <w:sz w:val="24"/>
          <w:szCs w:val="24"/>
        </w:rPr>
      </w:pPr>
      <w:r w:rsidRPr="002447E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-701040</wp:posOffset>
                </wp:positionV>
                <wp:extent cx="9840595" cy="1447800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59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7EB" w:rsidRDefault="00815F2E">
                            <w:r w:rsidRPr="002447E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DEB287" wp14:editId="48739FDD">
                                  <wp:extent cx="9280694" cy="13671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580" cy="1370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1pt;margin-top:-55.2pt;width:774.8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5qgwIAABA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" stroked="f">
                <v:textbox>
                  <w:txbxContent>
                    <w:p w:rsidR="002447EB" w:rsidRDefault="00815F2E">
                      <w:r w:rsidRPr="002447E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DEB287" wp14:editId="48739FDD">
                            <wp:extent cx="9280694" cy="13671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580" cy="1370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47EB">
        <w:rPr>
          <w:b/>
          <w:sz w:val="24"/>
          <w:szCs w:val="24"/>
        </w:rPr>
        <w:t>Pupil Premium Strategy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The Pupil Premium is additional funding to help schools close the attainment gap between children from low-income and other disadvantaged families and</w:t>
      </w:r>
    </w:p>
    <w:p w:rsid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their peers.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If a child has been eligible for free school meals (FSM) at any point over the past 6 years or has been continuously looked after for at least 6</w:t>
      </w:r>
    </w:p>
    <w:p w:rsid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months (LAC) the school receives an amount per head within their budget. This has risen each year to the current amount of £1320 per pupil.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 xml:space="preserve">A provision is also made for children who have a parent in the armed services. </w:t>
      </w:r>
      <w:r w:rsidR="00143868">
        <w:rPr>
          <w:rFonts w:cs="TT15Ft00"/>
        </w:rPr>
        <w:t>St Minver</w:t>
      </w:r>
      <w:r w:rsidRPr="002447EB">
        <w:rPr>
          <w:rFonts w:cs="TT15Ft00"/>
        </w:rPr>
        <w:t xml:space="preserve"> School is committed to ensuring maximum progress</w:t>
      </w:r>
    </w:p>
    <w:p w:rsid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for all groups of children and strives to close any gaps.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</w:p>
    <w:p w:rsidR="002447EB" w:rsidRPr="002447EB" w:rsidRDefault="00143868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>
        <w:rPr>
          <w:rFonts w:cs="TT15Ft00"/>
        </w:rPr>
        <w:t>St Minver</w:t>
      </w:r>
      <w:r w:rsidR="002447EB">
        <w:rPr>
          <w:rFonts w:cs="TT15Ft00"/>
        </w:rPr>
        <w:t xml:space="preserve"> </w:t>
      </w:r>
      <w:r w:rsidR="002447EB" w:rsidRPr="002447EB">
        <w:rPr>
          <w:rFonts w:cs="TT15Ft00"/>
        </w:rPr>
        <w:t>School actively promotes equality of opportunity for all staff, governors, pupils and parents, creating a harmonious learning</w:t>
      </w:r>
    </w:p>
    <w:p w:rsid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community where all can succeed.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We have a clear, strategic approach to the use of specific Pupil Premium funding and plans are integrated into wider school support and improvement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systems. These are monitored and evaluated regularly and in depth data analysis ensures that the correct support and strategies are identified to maximize</w:t>
      </w:r>
    </w:p>
    <w:p w:rsidR="002447EB" w:rsidRDefault="002447EB" w:rsidP="002447EB">
      <w:pPr>
        <w:rPr>
          <w:rFonts w:cs="TT15Ft00"/>
        </w:rPr>
      </w:pPr>
      <w:r w:rsidRPr="002447EB">
        <w:rPr>
          <w:rFonts w:cs="TT15Ft00"/>
        </w:rPr>
        <w:t>progress.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 xml:space="preserve">Strong leadership systems ensure that Pupil Premium funding has the necessary impact. This includes </w:t>
      </w:r>
      <w:r>
        <w:rPr>
          <w:rFonts w:cs="TT15Ft00"/>
        </w:rPr>
        <w:t>hub councillors</w:t>
      </w:r>
      <w:r w:rsidRPr="002447EB">
        <w:rPr>
          <w:rFonts w:cs="TT15Ft00"/>
        </w:rPr>
        <w:t xml:space="preserve"> having responsibility for Pupil</w:t>
      </w:r>
    </w:p>
    <w:p w:rsidR="002447EB" w:rsidRPr="002447EB" w:rsidRDefault="00AD13B2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>
        <w:rPr>
          <w:rFonts w:cs="TT15Ft00"/>
        </w:rPr>
        <w:t xml:space="preserve">Premium, the </w:t>
      </w:r>
      <w:r w:rsidR="002447EB" w:rsidRPr="002447EB">
        <w:rPr>
          <w:rFonts w:cs="TT15Ft00"/>
        </w:rPr>
        <w:t>Head teacher and Assistant Head teacher leading the development plan and a coordinated strategic leadership approach to</w:t>
      </w:r>
    </w:p>
    <w:p w:rsid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 xml:space="preserve">implementing plans. 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 xml:space="preserve">All matters relating to the Pupil Premium are reported back to the </w:t>
      </w:r>
      <w:r>
        <w:rPr>
          <w:rFonts w:cs="TT15Ft00"/>
        </w:rPr>
        <w:t>Hub council and the full academy Trust Board</w:t>
      </w:r>
      <w:r w:rsidRPr="002447EB">
        <w:rPr>
          <w:rFonts w:cs="TT15Ft00"/>
        </w:rPr>
        <w:t>,</w:t>
      </w:r>
      <w:r>
        <w:rPr>
          <w:rFonts w:cs="TT15Ft00"/>
        </w:rPr>
        <w:t xml:space="preserve"> </w:t>
      </w:r>
      <w:r w:rsidRPr="002447EB">
        <w:rPr>
          <w:rFonts w:cs="TT15Ft00"/>
        </w:rPr>
        <w:t>ensuring that the school is held to account for the impact of spending.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An inter-threaded matrix approach for the support of PPG pupils is enabling school to develop a strong, comprehensive and sustainable support package</w:t>
      </w:r>
    </w:p>
    <w:p w:rsid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which leads to improvements in outcomes for this identified group.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61t00"/>
          <w:b/>
        </w:rPr>
      </w:pPr>
      <w:r w:rsidRPr="002447EB">
        <w:rPr>
          <w:rFonts w:cs="TT161t00"/>
          <w:b/>
        </w:rPr>
        <w:t>Key Priority</w:t>
      </w:r>
    </w:p>
    <w:p w:rsid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5Ft00"/>
        </w:rPr>
        <w:t>To close the disadvantage gap by addressing inequalities and raising the attainment of those students in low-income families.</w:t>
      </w: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</w:p>
    <w:p w:rsidR="002447EB" w:rsidRPr="002447EB" w:rsidRDefault="002447EB" w:rsidP="002447EB">
      <w:pPr>
        <w:autoSpaceDE w:val="0"/>
        <w:autoSpaceDN w:val="0"/>
        <w:adjustRightInd w:val="0"/>
        <w:spacing w:after="0" w:line="240" w:lineRule="auto"/>
        <w:rPr>
          <w:rFonts w:cs="TT15Ft00"/>
        </w:rPr>
      </w:pPr>
      <w:r w:rsidRPr="002447EB">
        <w:rPr>
          <w:rFonts w:cs="TT161t00"/>
          <w:b/>
        </w:rPr>
        <w:t>What do we expect to see:</w:t>
      </w:r>
      <w:r>
        <w:rPr>
          <w:rFonts w:cs="TT161t00"/>
          <w:b/>
        </w:rPr>
        <w:t xml:space="preserve"> </w:t>
      </w:r>
      <w:r w:rsidRPr="002447EB">
        <w:rPr>
          <w:rFonts w:cs="TT15Ft00"/>
        </w:rPr>
        <w:t>Targeted additional support strategies which result in every student, however financially disadvantaged, being able to have full access to our curriculum and</w:t>
      </w:r>
      <w:r>
        <w:rPr>
          <w:rFonts w:cs="TT15Ft00"/>
        </w:rPr>
        <w:t xml:space="preserve"> </w:t>
      </w:r>
      <w:r w:rsidRPr="002447EB">
        <w:rPr>
          <w:rFonts w:cs="TT15Ft00"/>
        </w:rPr>
        <w:t>all our extra-curricular experiences. All students in the target group who are currently underperforming because of th</w:t>
      </w:r>
      <w:r>
        <w:rPr>
          <w:rFonts w:cs="TT15Ft00"/>
        </w:rPr>
        <w:t xml:space="preserve">e impact of their disadvantaged </w:t>
      </w:r>
      <w:r w:rsidRPr="002447EB">
        <w:rPr>
          <w:rFonts w:cs="TT15Ft00"/>
        </w:rPr>
        <w:t>background will make improved progress leading to narrowing of any attainment gaps.</w:t>
      </w:r>
    </w:p>
    <w:p w:rsidR="002447EB" w:rsidRDefault="002447EB" w:rsidP="002447EB"/>
    <w:p w:rsidR="009D50B1" w:rsidRPr="009D50B1" w:rsidRDefault="009D50B1" w:rsidP="002447EB">
      <w:pPr>
        <w:rPr>
          <w:b/>
        </w:rPr>
      </w:pPr>
      <w:r w:rsidRPr="009D50B1">
        <w:rPr>
          <w:b/>
        </w:rPr>
        <w:t>Pupil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1300"/>
        <w:gridCol w:w="3349"/>
        <w:gridCol w:w="1329"/>
        <w:gridCol w:w="3321"/>
      </w:tblGrid>
      <w:tr w:rsidR="002F298C" w:rsidTr="002F298C">
        <w:tc>
          <w:tcPr>
            <w:tcW w:w="4649" w:type="dxa"/>
          </w:tcPr>
          <w:p w:rsidR="002F298C" w:rsidRDefault="002F298C" w:rsidP="002447EB"/>
        </w:tc>
        <w:tc>
          <w:tcPr>
            <w:tcW w:w="4649" w:type="dxa"/>
            <w:gridSpan w:val="2"/>
          </w:tcPr>
          <w:p w:rsidR="002F298C" w:rsidRDefault="002F298C" w:rsidP="002447EB">
            <w:r>
              <w:t>2015-16</w:t>
            </w:r>
          </w:p>
        </w:tc>
        <w:tc>
          <w:tcPr>
            <w:tcW w:w="4650" w:type="dxa"/>
            <w:gridSpan w:val="2"/>
          </w:tcPr>
          <w:p w:rsidR="002F298C" w:rsidRDefault="002F298C" w:rsidP="002447EB">
            <w:r>
              <w:t>2016-17</w:t>
            </w:r>
          </w:p>
        </w:tc>
      </w:tr>
      <w:tr w:rsidR="00AD13B2" w:rsidTr="00AD13B2">
        <w:tc>
          <w:tcPr>
            <w:tcW w:w="4649" w:type="dxa"/>
          </w:tcPr>
          <w:p w:rsidR="00AD13B2" w:rsidRDefault="00AD13B2" w:rsidP="002447EB">
            <w:r>
              <w:t>Pupils eligible for Pupil Premium</w:t>
            </w:r>
          </w:p>
        </w:tc>
        <w:tc>
          <w:tcPr>
            <w:tcW w:w="1300" w:type="dxa"/>
          </w:tcPr>
          <w:p w:rsidR="00AD13B2" w:rsidRDefault="00815F2E" w:rsidP="002447EB">
            <w:r>
              <w:t>15</w:t>
            </w:r>
            <w:r w:rsidR="00AC00CC">
              <w:t>@£1320</w:t>
            </w:r>
          </w:p>
        </w:tc>
        <w:tc>
          <w:tcPr>
            <w:tcW w:w="3349" w:type="dxa"/>
          </w:tcPr>
          <w:p w:rsidR="00AD13B2" w:rsidRDefault="00C82B60" w:rsidP="002447EB">
            <w:r>
              <w:t>£19800</w:t>
            </w:r>
          </w:p>
        </w:tc>
        <w:tc>
          <w:tcPr>
            <w:tcW w:w="1329" w:type="dxa"/>
          </w:tcPr>
          <w:p w:rsidR="00AD13B2" w:rsidRDefault="0068790A" w:rsidP="002447EB">
            <w:r>
              <w:t>14</w:t>
            </w:r>
            <w:r w:rsidR="00AD13B2">
              <w:t xml:space="preserve"> @</w:t>
            </w:r>
            <w:r w:rsidR="00067199">
              <w:t xml:space="preserve"> </w:t>
            </w:r>
            <w:r w:rsidR="00AD13B2">
              <w:t>£1320</w:t>
            </w:r>
          </w:p>
        </w:tc>
        <w:tc>
          <w:tcPr>
            <w:tcW w:w="3321" w:type="dxa"/>
          </w:tcPr>
          <w:p w:rsidR="00AD13B2" w:rsidRDefault="0068790A" w:rsidP="002447EB">
            <w:r>
              <w:t>£1848</w:t>
            </w:r>
            <w:r w:rsidR="00067199">
              <w:t>0</w:t>
            </w:r>
          </w:p>
        </w:tc>
      </w:tr>
      <w:tr w:rsidR="00AD13B2" w:rsidTr="00AD13B2">
        <w:tc>
          <w:tcPr>
            <w:tcW w:w="4649" w:type="dxa"/>
          </w:tcPr>
          <w:p w:rsidR="00AD13B2" w:rsidRDefault="00AD13B2" w:rsidP="002447EB">
            <w:r>
              <w:t>Looked After Children</w:t>
            </w:r>
          </w:p>
        </w:tc>
        <w:tc>
          <w:tcPr>
            <w:tcW w:w="1300" w:type="dxa"/>
          </w:tcPr>
          <w:p w:rsidR="00AD13B2" w:rsidRDefault="00815F2E" w:rsidP="002447EB">
            <w:r>
              <w:t>3@£1900</w:t>
            </w:r>
          </w:p>
        </w:tc>
        <w:tc>
          <w:tcPr>
            <w:tcW w:w="3349" w:type="dxa"/>
          </w:tcPr>
          <w:p w:rsidR="00AD13B2" w:rsidRDefault="00C82B60" w:rsidP="002447EB">
            <w:r>
              <w:t>£5700</w:t>
            </w:r>
          </w:p>
        </w:tc>
        <w:tc>
          <w:tcPr>
            <w:tcW w:w="1329" w:type="dxa"/>
          </w:tcPr>
          <w:p w:rsidR="00AD13B2" w:rsidRDefault="00067199" w:rsidP="002447EB">
            <w:r>
              <w:t xml:space="preserve">4 </w:t>
            </w:r>
            <w:r w:rsidR="00AD13B2">
              <w:t>@</w:t>
            </w:r>
            <w:r>
              <w:t xml:space="preserve"> </w:t>
            </w:r>
            <w:r w:rsidR="00AD13B2">
              <w:t>£1900</w:t>
            </w:r>
          </w:p>
        </w:tc>
        <w:tc>
          <w:tcPr>
            <w:tcW w:w="3321" w:type="dxa"/>
          </w:tcPr>
          <w:p w:rsidR="00AD13B2" w:rsidRDefault="00067199" w:rsidP="002447EB">
            <w:r>
              <w:t>£7600</w:t>
            </w:r>
          </w:p>
        </w:tc>
      </w:tr>
      <w:tr w:rsidR="00AD13B2" w:rsidTr="00AD13B2">
        <w:tc>
          <w:tcPr>
            <w:tcW w:w="4649" w:type="dxa"/>
          </w:tcPr>
          <w:p w:rsidR="00AD13B2" w:rsidRDefault="00AD13B2" w:rsidP="002447EB">
            <w:r>
              <w:t>Children from Service Families</w:t>
            </w:r>
          </w:p>
        </w:tc>
        <w:tc>
          <w:tcPr>
            <w:tcW w:w="1300" w:type="dxa"/>
          </w:tcPr>
          <w:p w:rsidR="00AD13B2" w:rsidRDefault="00AD13B2" w:rsidP="002447EB"/>
        </w:tc>
        <w:tc>
          <w:tcPr>
            <w:tcW w:w="3349" w:type="dxa"/>
          </w:tcPr>
          <w:p w:rsidR="00AD13B2" w:rsidRDefault="00AD13B2" w:rsidP="002447EB"/>
        </w:tc>
        <w:tc>
          <w:tcPr>
            <w:tcW w:w="1329" w:type="dxa"/>
          </w:tcPr>
          <w:p w:rsidR="00AD13B2" w:rsidRDefault="00067199" w:rsidP="002447EB">
            <w:r>
              <w:t>1 @ £300</w:t>
            </w:r>
          </w:p>
        </w:tc>
        <w:tc>
          <w:tcPr>
            <w:tcW w:w="3321" w:type="dxa"/>
          </w:tcPr>
          <w:p w:rsidR="00AD13B2" w:rsidRDefault="00067199" w:rsidP="002447EB">
            <w:r>
              <w:t>£300</w:t>
            </w:r>
          </w:p>
        </w:tc>
      </w:tr>
      <w:tr w:rsidR="00AD13B2" w:rsidTr="00AD13B2">
        <w:tc>
          <w:tcPr>
            <w:tcW w:w="4649" w:type="dxa"/>
          </w:tcPr>
          <w:p w:rsidR="00AD13B2" w:rsidRDefault="00AD13B2" w:rsidP="002447EB"/>
        </w:tc>
        <w:tc>
          <w:tcPr>
            <w:tcW w:w="1300" w:type="dxa"/>
          </w:tcPr>
          <w:p w:rsidR="00AD13B2" w:rsidRDefault="00AD13B2" w:rsidP="002447EB"/>
        </w:tc>
        <w:tc>
          <w:tcPr>
            <w:tcW w:w="3349" w:type="dxa"/>
          </w:tcPr>
          <w:p w:rsidR="00AD13B2" w:rsidRDefault="00C82B60" w:rsidP="005F5DB9">
            <w:r>
              <w:t>£</w:t>
            </w:r>
            <w:r w:rsidR="005F5DB9">
              <w:t>25500</w:t>
            </w:r>
          </w:p>
        </w:tc>
        <w:tc>
          <w:tcPr>
            <w:tcW w:w="1329" w:type="dxa"/>
          </w:tcPr>
          <w:p w:rsidR="00AD13B2" w:rsidRDefault="00AD13B2" w:rsidP="002447EB"/>
        </w:tc>
        <w:tc>
          <w:tcPr>
            <w:tcW w:w="3321" w:type="dxa"/>
          </w:tcPr>
          <w:p w:rsidR="00AD13B2" w:rsidRDefault="0068790A" w:rsidP="002447EB">
            <w:r>
              <w:t>£2638</w:t>
            </w:r>
            <w:r w:rsidR="00067199">
              <w:t>0</w:t>
            </w:r>
          </w:p>
        </w:tc>
      </w:tr>
    </w:tbl>
    <w:p w:rsidR="009D50B1" w:rsidRDefault="009D50B1" w:rsidP="002447EB"/>
    <w:p w:rsidR="00AC00CC" w:rsidRPr="00AC00CC" w:rsidRDefault="00AC00CC" w:rsidP="002447EB">
      <w:pPr>
        <w:rPr>
          <w:b/>
        </w:rPr>
      </w:pPr>
      <w:r w:rsidRPr="00AC00CC">
        <w:rPr>
          <w:b/>
        </w:rPr>
        <w:t>Impact of Pupil Premium Spending 2015-16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936"/>
        <w:gridCol w:w="883"/>
        <w:gridCol w:w="952"/>
        <w:gridCol w:w="4783"/>
        <w:gridCol w:w="990"/>
        <w:gridCol w:w="988"/>
        <w:gridCol w:w="952"/>
      </w:tblGrid>
      <w:tr w:rsidR="00076F9E" w:rsidTr="00076F9E">
        <w:tc>
          <w:tcPr>
            <w:tcW w:w="13948" w:type="dxa"/>
            <w:gridSpan w:val="8"/>
            <w:shd w:val="clear" w:color="auto" w:fill="92CDDC" w:themeFill="accent5" w:themeFillTint="99"/>
          </w:tcPr>
          <w:p w:rsidR="00076F9E" w:rsidRDefault="00076F9E" w:rsidP="002447EB">
            <w:r>
              <w:t>EYFS</w:t>
            </w:r>
          </w:p>
        </w:tc>
      </w:tr>
      <w:tr w:rsidR="00A56923" w:rsidTr="00364388">
        <w:tc>
          <w:tcPr>
            <w:tcW w:w="3464" w:type="dxa"/>
            <w:vMerge w:val="restart"/>
            <w:tcBorders>
              <w:right w:val="single" w:sz="18" w:space="0" w:color="auto"/>
            </w:tcBorders>
          </w:tcPr>
          <w:p w:rsidR="00A56923" w:rsidRDefault="00A56923" w:rsidP="002447EB"/>
          <w:p w:rsidR="00A56923" w:rsidRDefault="00A56923" w:rsidP="002447EB">
            <w:r>
              <w:t>Percentage of pupils achieving GLD</w:t>
            </w:r>
          </w:p>
        </w:tc>
        <w:tc>
          <w:tcPr>
            <w:tcW w:w="27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6923" w:rsidRDefault="00A56923" w:rsidP="002447EB">
            <w:r>
              <w:t>2015</w:t>
            </w:r>
          </w:p>
        </w:tc>
        <w:tc>
          <w:tcPr>
            <w:tcW w:w="47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6923" w:rsidRDefault="00A56923" w:rsidP="002447EB"/>
        </w:tc>
        <w:tc>
          <w:tcPr>
            <w:tcW w:w="2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6923" w:rsidRDefault="00A56923" w:rsidP="002447EB">
            <w:r>
              <w:t>2016</w:t>
            </w:r>
          </w:p>
        </w:tc>
      </w:tr>
      <w:tr w:rsidR="00A56923" w:rsidTr="00364388">
        <w:tc>
          <w:tcPr>
            <w:tcW w:w="3464" w:type="dxa"/>
            <w:vMerge/>
            <w:tcBorders>
              <w:right w:val="single" w:sz="18" w:space="0" w:color="auto"/>
            </w:tcBorders>
          </w:tcPr>
          <w:p w:rsidR="00A56923" w:rsidRDefault="00A56923" w:rsidP="002447EB"/>
        </w:tc>
        <w:tc>
          <w:tcPr>
            <w:tcW w:w="936" w:type="dxa"/>
            <w:tcBorders>
              <w:lef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2447EB">
            <w:r>
              <w:t>Reading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A56923" w:rsidRDefault="00A56923" w:rsidP="002447EB">
            <w:r>
              <w:t>Writing</w:t>
            </w:r>
          </w:p>
        </w:tc>
        <w:tc>
          <w:tcPr>
            <w:tcW w:w="952" w:type="dxa"/>
            <w:tcBorders>
              <w:righ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2447EB">
            <w:r>
              <w:t>Number</w:t>
            </w:r>
          </w:p>
        </w:tc>
        <w:tc>
          <w:tcPr>
            <w:tcW w:w="4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6923" w:rsidRDefault="00A56923" w:rsidP="002447EB"/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2447EB">
            <w:r>
              <w:t>Reading</w:t>
            </w:r>
          </w:p>
        </w:tc>
        <w:tc>
          <w:tcPr>
            <w:tcW w:w="988" w:type="dxa"/>
            <w:shd w:val="clear" w:color="auto" w:fill="92CDDC" w:themeFill="accent5" w:themeFillTint="99"/>
          </w:tcPr>
          <w:p w:rsidR="00A56923" w:rsidRDefault="00A56923" w:rsidP="002447EB">
            <w:r>
              <w:t>Writing</w:t>
            </w:r>
          </w:p>
        </w:tc>
        <w:tc>
          <w:tcPr>
            <w:tcW w:w="952" w:type="dxa"/>
            <w:tcBorders>
              <w:righ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2447EB">
            <w:r>
              <w:t>Number</w:t>
            </w:r>
          </w:p>
        </w:tc>
      </w:tr>
      <w:tr w:rsidR="00076F9E" w:rsidTr="00364388">
        <w:tc>
          <w:tcPr>
            <w:tcW w:w="3464" w:type="dxa"/>
            <w:tcBorders>
              <w:right w:val="single" w:sz="18" w:space="0" w:color="auto"/>
            </w:tcBorders>
          </w:tcPr>
          <w:p w:rsidR="00076F9E" w:rsidRDefault="00076F9E" w:rsidP="00076F9E">
            <w:r>
              <w:t>Disadvantaged Pupils</w:t>
            </w:r>
            <w:r w:rsidR="00E80BEB">
              <w:t xml:space="preserve"> (0)</w:t>
            </w: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076F9E" w:rsidRDefault="00E80BEB" w:rsidP="00076F9E">
            <w:r>
              <w:t>N/A</w:t>
            </w:r>
          </w:p>
        </w:tc>
        <w:tc>
          <w:tcPr>
            <w:tcW w:w="883" w:type="dxa"/>
          </w:tcPr>
          <w:p w:rsidR="00076F9E" w:rsidRDefault="00E80BEB" w:rsidP="00076F9E">
            <w:r>
              <w:t>N/A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076F9E" w:rsidRDefault="00E80BEB" w:rsidP="00076F9E">
            <w:r>
              <w:t>N/A</w:t>
            </w:r>
          </w:p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</w:tcPr>
          <w:p w:rsidR="00076F9E" w:rsidRDefault="00076F9E" w:rsidP="00076F9E">
            <w:r>
              <w:t>Disadvantaged Pupils</w:t>
            </w:r>
            <w:r w:rsidR="00E80BEB">
              <w:t xml:space="preserve"> (1)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76F9E" w:rsidRDefault="00E80BEB" w:rsidP="00076F9E">
            <w:r>
              <w:t>100%</w:t>
            </w:r>
          </w:p>
        </w:tc>
        <w:tc>
          <w:tcPr>
            <w:tcW w:w="988" w:type="dxa"/>
          </w:tcPr>
          <w:p w:rsidR="00076F9E" w:rsidRDefault="00E80BEB" w:rsidP="00076F9E">
            <w:r>
              <w:t>0%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076F9E" w:rsidRDefault="00E80BEB" w:rsidP="00076F9E">
            <w:r>
              <w:t>100%</w:t>
            </w:r>
          </w:p>
        </w:tc>
      </w:tr>
      <w:tr w:rsidR="00076F9E" w:rsidTr="00364388">
        <w:tc>
          <w:tcPr>
            <w:tcW w:w="3464" w:type="dxa"/>
            <w:tcBorders>
              <w:right w:val="single" w:sz="18" w:space="0" w:color="auto"/>
            </w:tcBorders>
          </w:tcPr>
          <w:p w:rsidR="00076F9E" w:rsidRDefault="00076F9E" w:rsidP="00076F9E">
            <w:r>
              <w:t>National “other” Pupils</w:t>
            </w: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076F9E" w:rsidRDefault="00076F9E" w:rsidP="00076F9E"/>
        </w:tc>
        <w:tc>
          <w:tcPr>
            <w:tcW w:w="883" w:type="dxa"/>
          </w:tcPr>
          <w:p w:rsidR="00076F9E" w:rsidRDefault="00076F9E" w:rsidP="00076F9E"/>
        </w:tc>
        <w:tc>
          <w:tcPr>
            <w:tcW w:w="952" w:type="dxa"/>
            <w:tcBorders>
              <w:right w:val="single" w:sz="18" w:space="0" w:color="auto"/>
            </w:tcBorders>
          </w:tcPr>
          <w:p w:rsidR="00076F9E" w:rsidRDefault="00076F9E" w:rsidP="00076F9E"/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</w:tcPr>
          <w:p w:rsidR="00076F9E" w:rsidRDefault="00076F9E" w:rsidP="00076F9E">
            <w:r>
              <w:t>National “other” Pupils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076F9E" w:rsidRDefault="00E80BEB" w:rsidP="00076F9E">
            <w:r>
              <w:t>74%</w:t>
            </w:r>
          </w:p>
        </w:tc>
        <w:tc>
          <w:tcPr>
            <w:tcW w:w="988" w:type="dxa"/>
          </w:tcPr>
          <w:p w:rsidR="00076F9E" w:rsidRDefault="00E80BEB" w:rsidP="00076F9E">
            <w:r>
              <w:t>67%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076F9E" w:rsidRDefault="00E80BEB" w:rsidP="00076F9E">
            <w:r>
              <w:t>74%</w:t>
            </w:r>
          </w:p>
        </w:tc>
      </w:tr>
      <w:tr w:rsidR="00364388" w:rsidTr="00343C43">
        <w:tc>
          <w:tcPr>
            <w:tcW w:w="3464" w:type="dxa"/>
            <w:tcBorders>
              <w:right w:val="single" w:sz="18" w:space="0" w:color="auto"/>
            </w:tcBorders>
            <w:shd w:val="clear" w:color="auto" w:fill="95B3D7" w:themeFill="accent1" w:themeFillTint="99"/>
          </w:tcPr>
          <w:p w:rsidR="00076F9E" w:rsidRDefault="00076F9E" w:rsidP="00076F9E">
            <w:r>
              <w:t>Difference</w:t>
            </w:r>
          </w:p>
        </w:tc>
        <w:tc>
          <w:tcPr>
            <w:tcW w:w="936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076F9E" w:rsidRDefault="00076F9E" w:rsidP="00076F9E"/>
        </w:tc>
        <w:tc>
          <w:tcPr>
            <w:tcW w:w="883" w:type="dxa"/>
            <w:tcBorders>
              <w:bottom w:val="single" w:sz="18" w:space="0" w:color="auto"/>
            </w:tcBorders>
            <w:shd w:val="clear" w:color="auto" w:fill="95B3D7" w:themeFill="accent1" w:themeFillTint="99"/>
          </w:tcPr>
          <w:p w:rsidR="00076F9E" w:rsidRDefault="00076F9E" w:rsidP="00076F9E"/>
        </w:tc>
        <w:tc>
          <w:tcPr>
            <w:tcW w:w="9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076F9E" w:rsidRDefault="00076F9E" w:rsidP="00076F9E"/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076F9E" w:rsidRDefault="00076F9E" w:rsidP="00076F9E">
            <w:r>
              <w:t>Difference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076F9E" w:rsidRDefault="00E80BEB" w:rsidP="00E80BEB">
            <w:r>
              <w:t>+26</w:t>
            </w: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076F9E" w:rsidRDefault="00E80BEB" w:rsidP="00076F9E">
            <w:r>
              <w:t>-67</w:t>
            </w:r>
          </w:p>
        </w:tc>
        <w:tc>
          <w:tcPr>
            <w:tcW w:w="9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076F9E" w:rsidRDefault="00E80BEB" w:rsidP="00076F9E">
            <w:r>
              <w:t>+26</w:t>
            </w:r>
          </w:p>
        </w:tc>
      </w:tr>
    </w:tbl>
    <w:p w:rsidR="00076F9E" w:rsidRDefault="00076F9E" w:rsidP="002447EB"/>
    <w:p w:rsidR="00E80BEB" w:rsidRDefault="00E80BEB" w:rsidP="002447EB"/>
    <w:p w:rsidR="00A56923" w:rsidRDefault="00A56923" w:rsidP="002447EB"/>
    <w:p w:rsidR="00A56923" w:rsidRDefault="00A56923" w:rsidP="00244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936"/>
        <w:gridCol w:w="883"/>
        <w:gridCol w:w="952"/>
        <w:gridCol w:w="4783"/>
        <w:gridCol w:w="990"/>
        <w:gridCol w:w="988"/>
        <w:gridCol w:w="952"/>
      </w:tblGrid>
      <w:tr w:rsidR="00A56923" w:rsidTr="00F40289">
        <w:tc>
          <w:tcPr>
            <w:tcW w:w="13948" w:type="dxa"/>
            <w:gridSpan w:val="8"/>
            <w:shd w:val="clear" w:color="auto" w:fill="92CDDC" w:themeFill="accent5" w:themeFillTint="99"/>
          </w:tcPr>
          <w:p w:rsidR="00A56923" w:rsidRDefault="00A56923" w:rsidP="00F40289">
            <w:r>
              <w:lastRenderedPageBreak/>
              <w:t>Key Stage 1</w:t>
            </w:r>
          </w:p>
        </w:tc>
      </w:tr>
      <w:tr w:rsidR="00A56923" w:rsidTr="00F40289">
        <w:tc>
          <w:tcPr>
            <w:tcW w:w="3464" w:type="dxa"/>
            <w:vMerge w:val="restart"/>
            <w:tcBorders>
              <w:right w:val="single" w:sz="18" w:space="0" w:color="auto"/>
            </w:tcBorders>
          </w:tcPr>
          <w:p w:rsidR="00A56923" w:rsidRDefault="00A56923" w:rsidP="00F40289">
            <w:r>
              <w:t>Pupils achieving ARE</w:t>
            </w:r>
          </w:p>
        </w:tc>
        <w:tc>
          <w:tcPr>
            <w:tcW w:w="27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>
            <w:r>
              <w:t>2015</w:t>
            </w:r>
          </w:p>
        </w:tc>
        <w:tc>
          <w:tcPr>
            <w:tcW w:w="47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/>
        </w:tc>
        <w:tc>
          <w:tcPr>
            <w:tcW w:w="2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>
            <w:r>
              <w:t>2016</w:t>
            </w:r>
          </w:p>
        </w:tc>
      </w:tr>
      <w:tr w:rsidR="00A56923" w:rsidTr="00F40289">
        <w:tc>
          <w:tcPr>
            <w:tcW w:w="3464" w:type="dxa"/>
            <w:vMerge/>
            <w:tcBorders>
              <w:right w:val="single" w:sz="18" w:space="0" w:color="auto"/>
            </w:tcBorders>
          </w:tcPr>
          <w:p w:rsidR="00A56923" w:rsidRDefault="00A56923" w:rsidP="00F40289"/>
        </w:tc>
        <w:tc>
          <w:tcPr>
            <w:tcW w:w="936" w:type="dxa"/>
            <w:tcBorders>
              <w:lef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F40289">
            <w:r>
              <w:t>Reading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A56923" w:rsidRDefault="00A56923" w:rsidP="00F40289">
            <w:r>
              <w:t>Writing</w:t>
            </w:r>
          </w:p>
        </w:tc>
        <w:tc>
          <w:tcPr>
            <w:tcW w:w="952" w:type="dxa"/>
            <w:tcBorders>
              <w:righ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F40289">
            <w:r>
              <w:t>Maths</w:t>
            </w:r>
          </w:p>
        </w:tc>
        <w:tc>
          <w:tcPr>
            <w:tcW w:w="4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/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F40289">
            <w:r>
              <w:t>Reading</w:t>
            </w:r>
          </w:p>
        </w:tc>
        <w:tc>
          <w:tcPr>
            <w:tcW w:w="988" w:type="dxa"/>
            <w:shd w:val="clear" w:color="auto" w:fill="92CDDC" w:themeFill="accent5" w:themeFillTint="99"/>
          </w:tcPr>
          <w:p w:rsidR="00A56923" w:rsidRDefault="00A56923" w:rsidP="00F40289">
            <w:r>
              <w:t>Writing</w:t>
            </w:r>
          </w:p>
        </w:tc>
        <w:tc>
          <w:tcPr>
            <w:tcW w:w="952" w:type="dxa"/>
            <w:tcBorders>
              <w:righ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F40289">
            <w:r>
              <w:t>Maths</w:t>
            </w:r>
          </w:p>
        </w:tc>
      </w:tr>
      <w:tr w:rsidR="00A56923" w:rsidTr="00F40289">
        <w:tc>
          <w:tcPr>
            <w:tcW w:w="3464" w:type="dxa"/>
            <w:tcBorders>
              <w:right w:val="single" w:sz="18" w:space="0" w:color="auto"/>
            </w:tcBorders>
          </w:tcPr>
          <w:p w:rsidR="00A56923" w:rsidRDefault="00A56923" w:rsidP="00F40289">
            <w:r>
              <w:t>Disadvantaged Pupils</w:t>
            </w:r>
            <w:r w:rsidR="00E80BEB">
              <w:t xml:space="preserve"> (2)</w:t>
            </w: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A56923" w:rsidRDefault="00E80BEB" w:rsidP="00F40289">
            <w:r>
              <w:t>0%</w:t>
            </w:r>
          </w:p>
        </w:tc>
        <w:tc>
          <w:tcPr>
            <w:tcW w:w="883" w:type="dxa"/>
          </w:tcPr>
          <w:p w:rsidR="00A56923" w:rsidRDefault="00E80BEB" w:rsidP="00F40289">
            <w:r>
              <w:t>0%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A56923" w:rsidRDefault="00E80BEB" w:rsidP="00F40289">
            <w:r>
              <w:t>0%</w:t>
            </w:r>
          </w:p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>
            <w:r>
              <w:t>Disadvantaged Pupils</w:t>
            </w:r>
            <w:r w:rsidR="00206AE7">
              <w:t xml:space="preserve"> (1</w:t>
            </w:r>
            <w:r w:rsidR="00DF68FE">
              <w:t>)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A56923" w:rsidRDefault="00DF68FE" w:rsidP="00F40289">
            <w:r>
              <w:t>N/A</w:t>
            </w:r>
          </w:p>
        </w:tc>
        <w:tc>
          <w:tcPr>
            <w:tcW w:w="988" w:type="dxa"/>
          </w:tcPr>
          <w:p w:rsidR="00A56923" w:rsidRDefault="00DF68FE" w:rsidP="00F40289">
            <w:r>
              <w:t>N/A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A56923" w:rsidRDefault="00DF68FE" w:rsidP="00F40289">
            <w:r>
              <w:t>N/A</w:t>
            </w:r>
          </w:p>
        </w:tc>
      </w:tr>
      <w:tr w:rsidR="00A56923" w:rsidTr="00F40289">
        <w:tc>
          <w:tcPr>
            <w:tcW w:w="3464" w:type="dxa"/>
            <w:tcBorders>
              <w:right w:val="single" w:sz="18" w:space="0" w:color="auto"/>
            </w:tcBorders>
          </w:tcPr>
          <w:p w:rsidR="00A56923" w:rsidRDefault="00A56923" w:rsidP="00F40289">
            <w:r>
              <w:t>National “other” Pupils</w:t>
            </w: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A56923" w:rsidRDefault="00E80BEB" w:rsidP="00F40289">
            <w:r>
              <w:t>82%</w:t>
            </w:r>
          </w:p>
        </w:tc>
        <w:tc>
          <w:tcPr>
            <w:tcW w:w="883" w:type="dxa"/>
          </w:tcPr>
          <w:p w:rsidR="00A56923" w:rsidRDefault="00E80BEB" w:rsidP="00F40289">
            <w:r>
              <w:t>72%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A56923" w:rsidRDefault="00E80BEB" w:rsidP="00F40289">
            <w:r>
              <w:t>82%</w:t>
            </w:r>
          </w:p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>
            <w:r>
              <w:t>National “other” Pupils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A56923" w:rsidRDefault="00DF68FE" w:rsidP="00F40289">
            <w:r>
              <w:t>74.1%</w:t>
            </w:r>
          </w:p>
        </w:tc>
        <w:tc>
          <w:tcPr>
            <w:tcW w:w="988" w:type="dxa"/>
          </w:tcPr>
          <w:p w:rsidR="00A56923" w:rsidRDefault="00DF68FE" w:rsidP="00F40289">
            <w:r>
              <w:t>65.5%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A56923" w:rsidRDefault="00DF68FE" w:rsidP="00F40289">
            <w:r>
              <w:t>72.6%</w:t>
            </w:r>
          </w:p>
        </w:tc>
      </w:tr>
      <w:tr w:rsidR="00A56923" w:rsidTr="00343C43">
        <w:tc>
          <w:tcPr>
            <w:tcW w:w="3464" w:type="dxa"/>
            <w:tcBorders>
              <w:right w:val="single" w:sz="18" w:space="0" w:color="auto"/>
            </w:tcBorders>
            <w:shd w:val="clear" w:color="auto" w:fill="95B3D7" w:themeFill="accent1" w:themeFillTint="99"/>
          </w:tcPr>
          <w:p w:rsidR="00A56923" w:rsidRDefault="00A56923" w:rsidP="00F40289">
            <w:r>
              <w:t>Difference</w:t>
            </w:r>
          </w:p>
        </w:tc>
        <w:tc>
          <w:tcPr>
            <w:tcW w:w="936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A56923" w:rsidRDefault="00E80BEB" w:rsidP="00F40289">
            <w:r>
              <w:t>-82</w:t>
            </w:r>
          </w:p>
        </w:tc>
        <w:tc>
          <w:tcPr>
            <w:tcW w:w="88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A56923" w:rsidRDefault="00E80BEB" w:rsidP="00F40289">
            <w:r>
              <w:t>-72</w:t>
            </w:r>
          </w:p>
        </w:tc>
        <w:tc>
          <w:tcPr>
            <w:tcW w:w="9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56923" w:rsidRDefault="00E80BEB" w:rsidP="00F40289">
            <w:r>
              <w:t>-82</w:t>
            </w:r>
          </w:p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56923" w:rsidRDefault="00A56923" w:rsidP="00F40289">
            <w:r>
              <w:t>Difference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A56923" w:rsidRDefault="00A56923" w:rsidP="00F40289"/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A56923" w:rsidRDefault="00A56923" w:rsidP="00F40289"/>
        </w:tc>
        <w:tc>
          <w:tcPr>
            <w:tcW w:w="9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56923" w:rsidRDefault="00A56923" w:rsidP="00F40289"/>
        </w:tc>
      </w:tr>
    </w:tbl>
    <w:p w:rsidR="00A56923" w:rsidRPr="00A754C1" w:rsidRDefault="00206AE7" w:rsidP="00A754C1">
      <w:pPr>
        <w:jc w:val="right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This</w:t>
      </w:r>
      <w:r w:rsidR="00A754C1" w:rsidRPr="00A754C1">
        <w:rPr>
          <w:i/>
          <w:color w:val="A6A6A6" w:themeColor="background1" w:themeShade="A6"/>
        </w:rPr>
        <w:t xml:space="preserve"> pupils only joined us in Year2 and had not attended school prior to this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936"/>
        <w:gridCol w:w="883"/>
        <w:gridCol w:w="952"/>
        <w:gridCol w:w="4783"/>
        <w:gridCol w:w="990"/>
        <w:gridCol w:w="988"/>
        <w:gridCol w:w="952"/>
      </w:tblGrid>
      <w:tr w:rsidR="00A56923" w:rsidTr="00F40289">
        <w:tc>
          <w:tcPr>
            <w:tcW w:w="13948" w:type="dxa"/>
            <w:gridSpan w:val="8"/>
            <w:shd w:val="clear" w:color="auto" w:fill="92CDDC" w:themeFill="accent5" w:themeFillTint="99"/>
          </w:tcPr>
          <w:p w:rsidR="00A56923" w:rsidRDefault="00A56923" w:rsidP="00F40289">
            <w:r>
              <w:t>Key Stage 2</w:t>
            </w:r>
          </w:p>
        </w:tc>
      </w:tr>
      <w:tr w:rsidR="00A56923" w:rsidTr="00F40289">
        <w:tc>
          <w:tcPr>
            <w:tcW w:w="3464" w:type="dxa"/>
            <w:vMerge w:val="restart"/>
            <w:tcBorders>
              <w:right w:val="single" w:sz="18" w:space="0" w:color="auto"/>
            </w:tcBorders>
          </w:tcPr>
          <w:p w:rsidR="00A56923" w:rsidRDefault="00FF7831" w:rsidP="00F40289">
            <w:r>
              <w:t>Pupils achieving ARE</w:t>
            </w:r>
          </w:p>
        </w:tc>
        <w:tc>
          <w:tcPr>
            <w:tcW w:w="27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>
            <w:r>
              <w:t>2015</w:t>
            </w:r>
          </w:p>
        </w:tc>
        <w:tc>
          <w:tcPr>
            <w:tcW w:w="478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/>
        </w:tc>
        <w:tc>
          <w:tcPr>
            <w:tcW w:w="29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>
            <w:r>
              <w:t>2016</w:t>
            </w:r>
          </w:p>
        </w:tc>
      </w:tr>
      <w:tr w:rsidR="00A56923" w:rsidTr="00F40289">
        <w:tc>
          <w:tcPr>
            <w:tcW w:w="3464" w:type="dxa"/>
            <w:vMerge/>
            <w:tcBorders>
              <w:right w:val="single" w:sz="18" w:space="0" w:color="auto"/>
            </w:tcBorders>
          </w:tcPr>
          <w:p w:rsidR="00A56923" w:rsidRDefault="00A56923" w:rsidP="00F40289"/>
        </w:tc>
        <w:tc>
          <w:tcPr>
            <w:tcW w:w="936" w:type="dxa"/>
            <w:tcBorders>
              <w:lef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F40289">
            <w:r>
              <w:t>Reading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A56923" w:rsidRDefault="00A56923" w:rsidP="00F40289">
            <w:r>
              <w:t>Writing</w:t>
            </w:r>
          </w:p>
        </w:tc>
        <w:tc>
          <w:tcPr>
            <w:tcW w:w="952" w:type="dxa"/>
            <w:tcBorders>
              <w:righ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F40289">
            <w:r>
              <w:t>Maths</w:t>
            </w:r>
          </w:p>
        </w:tc>
        <w:tc>
          <w:tcPr>
            <w:tcW w:w="47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6923" w:rsidRDefault="00A56923" w:rsidP="00F40289"/>
        </w:tc>
        <w:tc>
          <w:tcPr>
            <w:tcW w:w="990" w:type="dxa"/>
            <w:tcBorders>
              <w:lef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F40289">
            <w:r>
              <w:t>Reading</w:t>
            </w:r>
          </w:p>
        </w:tc>
        <w:tc>
          <w:tcPr>
            <w:tcW w:w="988" w:type="dxa"/>
            <w:shd w:val="clear" w:color="auto" w:fill="92CDDC" w:themeFill="accent5" w:themeFillTint="99"/>
          </w:tcPr>
          <w:p w:rsidR="00A56923" w:rsidRDefault="00A56923" w:rsidP="00F40289">
            <w:r>
              <w:t>Writing</w:t>
            </w:r>
          </w:p>
        </w:tc>
        <w:tc>
          <w:tcPr>
            <w:tcW w:w="952" w:type="dxa"/>
            <w:tcBorders>
              <w:right w:val="single" w:sz="18" w:space="0" w:color="auto"/>
            </w:tcBorders>
            <w:shd w:val="clear" w:color="auto" w:fill="92CDDC" w:themeFill="accent5" w:themeFillTint="99"/>
          </w:tcPr>
          <w:p w:rsidR="00A56923" w:rsidRDefault="00A56923" w:rsidP="00F40289">
            <w:r>
              <w:t>Maths</w:t>
            </w:r>
          </w:p>
        </w:tc>
      </w:tr>
      <w:tr w:rsidR="00FF7831" w:rsidTr="00F40289">
        <w:tc>
          <w:tcPr>
            <w:tcW w:w="3464" w:type="dxa"/>
            <w:tcBorders>
              <w:right w:val="single" w:sz="18" w:space="0" w:color="auto"/>
            </w:tcBorders>
          </w:tcPr>
          <w:p w:rsidR="00FF7831" w:rsidRDefault="00FF7831" w:rsidP="00FF7831">
            <w:r>
              <w:t xml:space="preserve">Disadvantaged Pupils </w:t>
            </w:r>
            <w:r w:rsidR="000E2D73">
              <w:t>(7)</w:t>
            </w: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FF7831" w:rsidRDefault="000E2D73" w:rsidP="00FF7831">
            <w:r>
              <w:t>100%</w:t>
            </w:r>
          </w:p>
        </w:tc>
        <w:tc>
          <w:tcPr>
            <w:tcW w:w="883" w:type="dxa"/>
          </w:tcPr>
          <w:p w:rsidR="00FF7831" w:rsidRDefault="000E2D73" w:rsidP="00FF7831">
            <w:r>
              <w:t>71%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FF7831" w:rsidRDefault="000E2D73" w:rsidP="00FF7831">
            <w:r>
              <w:t>71%</w:t>
            </w:r>
          </w:p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</w:tcPr>
          <w:p w:rsidR="00FF7831" w:rsidRDefault="00FF7831" w:rsidP="00FF7831">
            <w:r>
              <w:t>Disadvantaged Pupils (2)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FF7831" w:rsidRDefault="00FF7831" w:rsidP="00FF7831">
            <w:r>
              <w:t>0%</w:t>
            </w:r>
          </w:p>
        </w:tc>
        <w:tc>
          <w:tcPr>
            <w:tcW w:w="988" w:type="dxa"/>
          </w:tcPr>
          <w:p w:rsidR="00FF7831" w:rsidRDefault="00FF7831" w:rsidP="00FF7831">
            <w:r>
              <w:t>100%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FF7831" w:rsidRDefault="00FF7831" w:rsidP="00FF7831">
            <w:r>
              <w:t>0%</w:t>
            </w:r>
          </w:p>
        </w:tc>
      </w:tr>
      <w:tr w:rsidR="00FF7831" w:rsidTr="00F40289">
        <w:tc>
          <w:tcPr>
            <w:tcW w:w="3464" w:type="dxa"/>
            <w:tcBorders>
              <w:right w:val="single" w:sz="18" w:space="0" w:color="auto"/>
            </w:tcBorders>
          </w:tcPr>
          <w:p w:rsidR="00FF7831" w:rsidRDefault="00FF7831" w:rsidP="00FF7831">
            <w:r>
              <w:t>National “other” Pupils</w:t>
            </w:r>
          </w:p>
        </w:tc>
        <w:tc>
          <w:tcPr>
            <w:tcW w:w="936" w:type="dxa"/>
            <w:tcBorders>
              <w:left w:val="single" w:sz="18" w:space="0" w:color="auto"/>
            </w:tcBorders>
          </w:tcPr>
          <w:p w:rsidR="00FF7831" w:rsidRDefault="000E2D73" w:rsidP="00FF7831">
            <w:r>
              <w:t>89%</w:t>
            </w:r>
          </w:p>
        </w:tc>
        <w:tc>
          <w:tcPr>
            <w:tcW w:w="883" w:type="dxa"/>
          </w:tcPr>
          <w:p w:rsidR="00FF7831" w:rsidRDefault="000E2D73" w:rsidP="00FF7831">
            <w:r>
              <w:t>87%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FF7831" w:rsidRDefault="000E2D73" w:rsidP="00FF7831">
            <w:r>
              <w:t>87%</w:t>
            </w:r>
          </w:p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</w:tcPr>
          <w:p w:rsidR="00FF7831" w:rsidRDefault="00FF7831" w:rsidP="00FF7831">
            <w:r>
              <w:t>National “other” Pupils</w:t>
            </w:r>
          </w:p>
        </w:tc>
        <w:tc>
          <w:tcPr>
            <w:tcW w:w="990" w:type="dxa"/>
            <w:tcBorders>
              <w:left w:val="single" w:sz="18" w:space="0" w:color="auto"/>
            </w:tcBorders>
          </w:tcPr>
          <w:p w:rsidR="00FF7831" w:rsidRDefault="00FF7831" w:rsidP="00FF7831">
            <w:r>
              <w:t>65.7%</w:t>
            </w:r>
          </w:p>
        </w:tc>
        <w:tc>
          <w:tcPr>
            <w:tcW w:w="988" w:type="dxa"/>
          </w:tcPr>
          <w:p w:rsidR="00FF7831" w:rsidRDefault="00FF7831" w:rsidP="00FF7831">
            <w:r>
              <w:t>74.1%</w:t>
            </w:r>
          </w:p>
        </w:tc>
        <w:tc>
          <w:tcPr>
            <w:tcW w:w="952" w:type="dxa"/>
            <w:tcBorders>
              <w:right w:val="single" w:sz="18" w:space="0" w:color="auto"/>
            </w:tcBorders>
          </w:tcPr>
          <w:p w:rsidR="00FF7831" w:rsidRDefault="00FF7831" w:rsidP="00FF7831">
            <w:r>
              <w:t>69.8%</w:t>
            </w:r>
          </w:p>
        </w:tc>
      </w:tr>
      <w:tr w:rsidR="00FF7831" w:rsidTr="00343C43">
        <w:tc>
          <w:tcPr>
            <w:tcW w:w="3464" w:type="dxa"/>
            <w:tcBorders>
              <w:right w:val="single" w:sz="18" w:space="0" w:color="auto"/>
            </w:tcBorders>
            <w:shd w:val="clear" w:color="auto" w:fill="95B3D7" w:themeFill="accent1" w:themeFillTint="99"/>
          </w:tcPr>
          <w:p w:rsidR="00FF7831" w:rsidRDefault="00FF7831" w:rsidP="00FF7831">
            <w:r>
              <w:t>Difference</w:t>
            </w:r>
          </w:p>
        </w:tc>
        <w:tc>
          <w:tcPr>
            <w:tcW w:w="936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FF7831" w:rsidRDefault="000E2D73" w:rsidP="00FF7831">
            <w:r>
              <w:t>+11</w:t>
            </w:r>
          </w:p>
        </w:tc>
        <w:tc>
          <w:tcPr>
            <w:tcW w:w="883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FF7831" w:rsidRDefault="000E2D73" w:rsidP="00FF7831">
            <w:r>
              <w:t>-16</w:t>
            </w:r>
          </w:p>
        </w:tc>
        <w:tc>
          <w:tcPr>
            <w:tcW w:w="9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FF7831" w:rsidRDefault="000E2D73" w:rsidP="00FF7831">
            <w:r>
              <w:t>-16</w:t>
            </w:r>
          </w:p>
        </w:tc>
        <w:tc>
          <w:tcPr>
            <w:tcW w:w="4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FF7831" w:rsidRDefault="00FF7831" w:rsidP="00FF7831">
            <w:r>
              <w:t>Difference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FF7831" w:rsidRDefault="00FF7831" w:rsidP="00FF7831">
            <w:r>
              <w:t>-65.7</w:t>
            </w:r>
          </w:p>
        </w:tc>
        <w:tc>
          <w:tcPr>
            <w:tcW w:w="988" w:type="dxa"/>
            <w:tcBorders>
              <w:bottom w:val="single" w:sz="24" w:space="0" w:color="auto"/>
            </w:tcBorders>
            <w:shd w:val="clear" w:color="auto" w:fill="95B3D7" w:themeFill="accent1" w:themeFillTint="99"/>
          </w:tcPr>
          <w:p w:rsidR="00FF7831" w:rsidRDefault="00FF7831" w:rsidP="00FF7831">
            <w:r>
              <w:t>+25.9%</w:t>
            </w:r>
          </w:p>
        </w:tc>
        <w:tc>
          <w:tcPr>
            <w:tcW w:w="9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FF7831" w:rsidRDefault="00FF7831" w:rsidP="00FF7831">
            <w:r>
              <w:t>-69.8%</w:t>
            </w:r>
          </w:p>
        </w:tc>
      </w:tr>
    </w:tbl>
    <w:p w:rsidR="00A56923" w:rsidRPr="00A754C1" w:rsidRDefault="00A754C1" w:rsidP="00A754C1">
      <w:pPr>
        <w:jc w:val="right"/>
        <w:rPr>
          <w:i/>
          <w:color w:val="A6A6A6" w:themeColor="background1" w:themeShade="A6"/>
        </w:rPr>
      </w:pPr>
      <w:r w:rsidRPr="00A754C1">
        <w:rPr>
          <w:i/>
          <w:color w:val="A6A6A6" w:themeColor="background1" w:themeShade="A6"/>
        </w:rPr>
        <w:t>One of these pupils only joined us in Year 5 and had significant time off due to family illness.</w:t>
      </w:r>
    </w:p>
    <w:p w:rsidR="00135A91" w:rsidRDefault="00135A91" w:rsidP="002447EB">
      <w:r>
        <w:t>Key Stage 2 Progress</w:t>
      </w:r>
    </w:p>
    <w:p w:rsidR="00135A91" w:rsidRDefault="00256F53" w:rsidP="002447EB">
      <w:r>
        <w:t>Last year, w</w:t>
      </w:r>
      <w:r w:rsidR="00135A91">
        <w:t>e assess</w:t>
      </w:r>
      <w:r>
        <w:t xml:space="preserve">ed </w:t>
      </w:r>
      <w:r w:rsidR="00135A91">
        <w:t>pupil’s progress against the national curriculum Rising Stars framework, using classroom monitor. Each child is expected to make 3 points progress over the year in order to meet expected progress at the end of KS2.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C2F4B" w:rsidTr="00CC2F4B">
        <w:tc>
          <w:tcPr>
            <w:tcW w:w="3487" w:type="dxa"/>
          </w:tcPr>
          <w:p w:rsidR="00CC2F4B" w:rsidRDefault="00CC2F4B" w:rsidP="002447EB"/>
        </w:tc>
        <w:tc>
          <w:tcPr>
            <w:tcW w:w="3487" w:type="dxa"/>
          </w:tcPr>
          <w:p w:rsidR="00CC2F4B" w:rsidRDefault="00CC2F4B" w:rsidP="002447EB">
            <w:r>
              <w:t>Maths</w:t>
            </w:r>
          </w:p>
        </w:tc>
        <w:tc>
          <w:tcPr>
            <w:tcW w:w="3487" w:type="dxa"/>
          </w:tcPr>
          <w:p w:rsidR="00CC2F4B" w:rsidRDefault="00CC2F4B" w:rsidP="002447EB">
            <w:r>
              <w:t>Reading</w:t>
            </w:r>
          </w:p>
        </w:tc>
        <w:tc>
          <w:tcPr>
            <w:tcW w:w="3487" w:type="dxa"/>
          </w:tcPr>
          <w:p w:rsidR="00CC2F4B" w:rsidRDefault="00CC2F4B" w:rsidP="002447EB">
            <w:r>
              <w:t>Writing</w:t>
            </w:r>
          </w:p>
        </w:tc>
      </w:tr>
      <w:tr w:rsidR="00454D33" w:rsidTr="00CC2F4B">
        <w:tc>
          <w:tcPr>
            <w:tcW w:w="3487" w:type="dxa"/>
          </w:tcPr>
          <w:p w:rsidR="00454D33" w:rsidRDefault="00206AE7" w:rsidP="002447EB">
            <w:r>
              <w:t>Y2 (1</w:t>
            </w:r>
            <w:r w:rsidR="00454D33">
              <w:t>)</w:t>
            </w:r>
          </w:p>
        </w:tc>
        <w:tc>
          <w:tcPr>
            <w:tcW w:w="3487" w:type="dxa"/>
          </w:tcPr>
          <w:p w:rsidR="00454D33" w:rsidRDefault="00454D33" w:rsidP="002447EB">
            <w:r>
              <w:t>5</w:t>
            </w:r>
          </w:p>
        </w:tc>
        <w:tc>
          <w:tcPr>
            <w:tcW w:w="3487" w:type="dxa"/>
          </w:tcPr>
          <w:p w:rsidR="00454D33" w:rsidRDefault="00454D33" w:rsidP="002447EB">
            <w:r>
              <w:t>3</w:t>
            </w:r>
          </w:p>
        </w:tc>
        <w:tc>
          <w:tcPr>
            <w:tcW w:w="3487" w:type="dxa"/>
          </w:tcPr>
          <w:p w:rsidR="00454D33" w:rsidRDefault="00454D33" w:rsidP="002447EB">
            <w:r>
              <w:t>3.5</w:t>
            </w:r>
          </w:p>
        </w:tc>
      </w:tr>
      <w:tr w:rsidR="00F96552" w:rsidTr="00CC2F4B">
        <w:tc>
          <w:tcPr>
            <w:tcW w:w="3487" w:type="dxa"/>
          </w:tcPr>
          <w:p w:rsidR="00F96552" w:rsidRDefault="00F96552" w:rsidP="002447EB">
            <w:r>
              <w:t>Y3 (2)</w:t>
            </w:r>
          </w:p>
        </w:tc>
        <w:tc>
          <w:tcPr>
            <w:tcW w:w="3487" w:type="dxa"/>
          </w:tcPr>
          <w:p w:rsidR="00F96552" w:rsidRDefault="00F96552" w:rsidP="002447EB">
            <w:r>
              <w:t>3.8</w:t>
            </w:r>
          </w:p>
        </w:tc>
        <w:tc>
          <w:tcPr>
            <w:tcW w:w="3487" w:type="dxa"/>
          </w:tcPr>
          <w:p w:rsidR="00F96552" w:rsidRDefault="00F96552" w:rsidP="002447EB">
            <w:r>
              <w:t>3.4</w:t>
            </w:r>
          </w:p>
        </w:tc>
        <w:tc>
          <w:tcPr>
            <w:tcW w:w="3487" w:type="dxa"/>
          </w:tcPr>
          <w:p w:rsidR="00F96552" w:rsidRDefault="00F96552" w:rsidP="002447EB">
            <w:r>
              <w:t>3.9</w:t>
            </w:r>
          </w:p>
        </w:tc>
      </w:tr>
      <w:tr w:rsidR="00CC2F4B" w:rsidTr="00CC2F4B">
        <w:tc>
          <w:tcPr>
            <w:tcW w:w="3487" w:type="dxa"/>
          </w:tcPr>
          <w:p w:rsidR="00CC2F4B" w:rsidRDefault="000E2D73" w:rsidP="002447EB">
            <w:r>
              <w:t>Y4</w:t>
            </w:r>
            <w:r w:rsidR="00DF68FE">
              <w:t xml:space="preserve"> (3)</w:t>
            </w:r>
          </w:p>
        </w:tc>
        <w:tc>
          <w:tcPr>
            <w:tcW w:w="3487" w:type="dxa"/>
          </w:tcPr>
          <w:p w:rsidR="00CC2F4B" w:rsidRDefault="00DF68FE" w:rsidP="002447EB">
            <w:r>
              <w:t>5.2</w:t>
            </w:r>
          </w:p>
        </w:tc>
        <w:tc>
          <w:tcPr>
            <w:tcW w:w="3487" w:type="dxa"/>
          </w:tcPr>
          <w:p w:rsidR="00CC2F4B" w:rsidRDefault="00DF68FE" w:rsidP="002447EB">
            <w:r>
              <w:t>3.8</w:t>
            </w:r>
          </w:p>
        </w:tc>
        <w:tc>
          <w:tcPr>
            <w:tcW w:w="3487" w:type="dxa"/>
          </w:tcPr>
          <w:p w:rsidR="00CC2F4B" w:rsidRDefault="00DF68FE" w:rsidP="002447EB">
            <w:r>
              <w:t>5</w:t>
            </w:r>
          </w:p>
        </w:tc>
      </w:tr>
      <w:tr w:rsidR="007634C6" w:rsidRPr="007634C6" w:rsidTr="00CC2F4B">
        <w:tc>
          <w:tcPr>
            <w:tcW w:w="3487" w:type="dxa"/>
          </w:tcPr>
          <w:p w:rsidR="00CC2F4B" w:rsidRPr="007634C6" w:rsidRDefault="000E2D73" w:rsidP="002447EB">
            <w:pPr>
              <w:rPr>
                <w:color w:val="FF0000"/>
              </w:rPr>
            </w:pPr>
            <w:r w:rsidRPr="007634C6">
              <w:rPr>
                <w:color w:val="FF0000"/>
              </w:rPr>
              <w:t>Y5</w:t>
            </w:r>
            <w:r w:rsidR="00DF68FE" w:rsidRPr="007634C6">
              <w:rPr>
                <w:color w:val="FF0000"/>
              </w:rPr>
              <w:t xml:space="preserve"> (3)</w:t>
            </w:r>
          </w:p>
        </w:tc>
        <w:tc>
          <w:tcPr>
            <w:tcW w:w="3487" w:type="dxa"/>
          </w:tcPr>
          <w:p w:rsidR="00CC2F4B" w:rsidRPr="007634C6" w:rsidRDefault="00DF68FE" w:rsidP="002447EB">
            <w:pPr>
              <w:rPr>
                <w:color w:val="FF0000"/>
              </w:rPr>
            </w:pPr>
            <w:r w:rsidRPr="007634C6">
              <w:rPr>
                <w:color w:val="FF0000"/>
              </w:rPr>
              <w:t>1.5</w:t>
            </w:r>
          </w:p>
        </w:tc>
        <w:tc>
          <w:tcPr>
            <w:tcW w:w="3487" w:type="dxa"/>
          </w:tcPr>
          <w:p w:rsidR="00CC2F4B" w:rsidRPr="007634C6" w:rsidRDefault="00DF68FE" w:rsidP="002447EB">
            <w:pPr>
              <w:rPr>
                <w:color w:val="FF0000"/>
              </w:rPr>
            </w:pPr>
            <w:r w:rsidRPr="007634C6">
              <w:rPr>
                <w:color w:val="FF0000"/>
              </w:rPr>
              <w:t>2.8</w:t>
            </w:r>
          </w:p>
        </w:tc>
        <w:tc>
          <w:tcPr>
            <w:tcW w:w="3487" w:type="dxa"/>
          </w:tcPr>
          <w:p w:rsidR="00CC2F4B" w:rsidRPr="007634C6" w:rsidRDefault="00DF68FE" w:rsidP="002447EB">
            <w:pPr>
              <w:rPr>
                <w:color w:val="FF0000"/>
              </w:rPr>
            </w:pPr>
            <w:r w:rsidRPr="007634C6">
              <w:rPr>
                <w:color w:val="FF0000"/>
              </w:rPr>
              <w:t>1.8</w:t>
            </w:r>
          </w:p>
        </w:tc>
      </w:tr>
      <w:tr w:rsidR="00F96552" w:rsidRPr="007634C6" w:rsidTr="00CC2F4B">
        <w:tc>
          <w:tcPr>
            <w:tcW w:w="3487" w:type="dxa"/>
          </w:tcPr>
          <w:p w:rsidR="00F96552" w:rsidRPr="00F96552" w:rsidRDefault="00F96552" w:rsidP="002447EB">
            <w:r w:rsidRPr="00F96552">
              <w:t>Y6</w:t>
            </w:r>
            <w:r>
              <w:t xml:space="preserve"> (2)</w:t>
            </w:r>
          </w:p>
        </w:tc>
        <w:tc>
          <w:tcPr>
            <w:tcW w:w="3487" w:type="dxa"/>
          </w:tcPr>
          <w:p w:rsidR="00F96552" w:rsidRPr="00F96552" w:rsidRDefault="00F96552" w:rsidP="002447EB">
            <w:r>
              <w:t>8.2</w:t>
            </w:r>
          </w:p>
        </w:tc>
        <w:tc>
          <w:tcPr>
            <w:tcW w:w="3487" w:type="dxa"/>
          </w:tcPr>
          <w:p w:rsidR="00F96552" w:rsidRPr="00F96552" w:rsidRDefault="00F96552" w:rsidP="002447EB">
            <w:r>
              <w:t>3.2</w:t>
            </w:r>
          </w:p>
        </w:tc>
        <w:tc>
          <w:tcPr>
            <w:tcW w:w="3487" w:type="dxa"/>
          </w:tcPr>
          <w:p w:rsidR="00F96552" w:rsidRPr="00F96552" w:rsidRDefault="00F96552" w:rsidP="002447EB">
            <w:r>
              <w:t>3.7</w:t>
            </w:r>
          </w:p>
        </w:tc>
      </w:tr>
      <w:tr w:rsidR="00DF68FE" w:rsidTr="00CC2F4B">
        <w:tc>
          <w:tcPr>
            <w:tcW w:w="3487" w:type="dxa"/>
          </w:tcPr>
          <w:p w:rsidR="00DF68FE" w:rsidRDefault="00DF68FE" w:rsidP="00DF68FE">
            <w:pPr>
              <w:jc w:val="right"/>
            </w:pPr>
            <w:r>
              <w:t>Average progress</w:t>
            </w:r>
            <w:r w:rsidR="00C62535">
              <w:t xml:space="preserve"> </w:t>
            </w:r>
          </w:p>
        </w:tc>
        <w:tc>
          <w:tcPr>
            <w:tcW w:w="3487" w:type="dxa"/>
          </w:tcPr>
          <w:p w:rsidR="00DF68FE" w:rsidRPr="00735F3E" w:rsidRDefault="00454D33" w:rsidP="002447EB">
            <w:pPr>
              <w:rPr>
                <w:color w:val="00B050"/>
              </w:rPr>
            </w:pPr>
            <w:r>
              <w:rPr>
                <w:color w:val="00B050"/>
              </w:rPr>
              <w:t>4.2</w:t>
            </w:r>
          </w:p>
        </w:tc>
        <w:tc>
          <w:tcPr>
            <w:tcW w:w="3487" w:type="dxa"/>
          </w:tcPr>
          <w:p w:rsidR="00DF68FE" w:rsidRPr="00735F3E" w:rsidRDefault="00454D33" w:rsidP="002447EB">
            <w:pPr>
              <w:rPr>
                <w:color w:val="00B050"/>
              </w:rPr>
            </w:pPr>
            <w:r>
              <w:rPr>
                <w:color w:val="00B050"/>
              </w:rPr>
              <w:t>3.2</w:t>
            </w:r>
          </w:p>
        </w:tc>
        <w:tc>
          <w:tcPr>
            <w:tcW w:w="3487" w:type="dxa"/>
          </w:tcPr>
          <w:p w:rsidR="00DF68FE" w:rsidRPr="00735F3E" w:rsidRDefault="00F96552" w:rsidP="002447EB">
            <w:pPr>
              <w:rPr>
                <w:color w:val="00B050"/>
              </w:rPr>
            </w:pPr>
            <w:r>
              <w:rPr>
                <w:color w:val="00B050"/>
              </w:rPr>
              <w:t>3.6</w:t>
            </w:r>
          </w:p>
        </w:tc>
      </w:tr>
    </w:tbl>
    <w:p w:rsidR="00135A91" w:rsidRDefault="00F1012D" w:rsidP="00F1012D">
      <w:pPr>
        <w:jc w:val="right"/>
        <w:rPr>
          <w:i/>
          <w:color w:val="BFBFBF" w:themeColor="background1" w:themeShade="BF"/>
        </w:rPr>
      </w:pPr>
      <w:r w:rsidRPr="00F1012D">
        <w:rPr>
          <w:i/>
          <w:color w:val="BFBFBF" w:themeColor="background1" w:themeShade="BF"/>
        </w:rPr>
        <w:t xml:space="preserve">Please note progress scores unavailable for Year </w:t>
      </w:r>
      <w:r w:rsidR="00F96552">
        <w:rPr>
          <w:i/>
          <w:color w:val="BFBFBF" w:themeColor="background1" w:themeShade="BF"/>
        </w:rPr>
        <w:t>5 data incomplete for 2015-16 due to staff illness</w:t>
      </w:r>
      <w:proofErr w:type="gramStart"/>
      <w:r w:rsidR="00F96552">
        <w:rPr>
          <w:i/>
          <w:color w:val="BFBFBF" w:themeColor="background1" w:themeShade="BF"/>
        </w:rPr>
        <w:t>.</w:t>
      </w:r>
      <w:r w:rsidR="008E5FCB">
        <w:rPr>
          <w:i/>
          <w:color w:val="BFBFBF" w:themeColor="background1" w:themeShade="BF"/>
        </w:rPr>
        <w:t>`</w:t>
      </w:r>
      <w:proofErr w:type="gramEnd"/>
    </w:p>
    <w:p w:rsidR="00256F53" w:rsidRDefault="00256F53" w:rsidP="00F1012D">
      <w:pPr>
        <w:jc w:val="right"/>
        <w:rPr>
          <w:i/>
          <w:color w:val="BFBFBF" w:themeColor="background1" w:themeShade="BF"/>
        </w:rPr>
      </w:pPr>
    </w:p>
    <w:p w:rsidR="00256F53" w:rsidRPr="00256F53" w:rsidRDefault="00256F53" w:rsidP="00256F53">
      <w:pPr>
        <w:pStyle w:val="NormalWeb"/>
        <w:rPr>
          <w:rFonts w:asciiTheme="minorHAnsi" w:hAnsiTheme="minorHAnsi"/>
          <w:color w:val="000000"/>
        </w:rPr>
      </w:pPr>
      <w:r w:rsidRPr="00256F53">
        <w:rPr>
          <w:rFonts w:asciiTheme="minorHAnsi" w:hAnsiTheme="minorHAnsi"/>
          <w:color w:val="000000"/>
        </w:rPr>
        <w:lastRenderedPageBreak/>
        <w:t xml:space="preserve">This year, the school is using teacher assessment to track the progress of </w:t>
      </w:r>
      <w:proofErr w:type="spellStart"/>
      <w:proofErr w:type="gramStart"/>
      <w:r w:rsidRPr="00256F53">
        <w:rPr>
          <w:rFonts w:asciiTheme="minorHAnsi" w:hAnsiTheme="minorHAnsi"/>
          <w:color w:val="000000"/>
        </w:rPr>
        <w:t>it’s</w:t>
      </w:r>
      <w:proofErr w:type="spellEnd"/>
      <w:proofErr w:type="gramEnd"/>
      <w:r w:rsidRPr="00256F53">
        <w:rPr>
          <w:rFonts w:asciiTheme="minorHAnsi" w:hAnsiTheme="minorHAnsi"/>
          <w:color w:val="000000"/>
        </w:rPr>
        <w:t xml:space="preserve"> pupils through school. This is backed up by assessments using classroom monitor as well as STAR online testing system. This system is not a replacement for levels, but allows teachers to make assessments against their teaching.</w:t>
      </w:r>
    </w:p>
    <w:p w:rsidR="00256F53" w:rsidRPr="00256F53" w:rsidRDefault="00256F53" w:rsidP="00256F53">
      <w:pPr>
        <w:pStyle w:val="NormalWeb"/>
        <w:rPr>
          <w:color w:val="BFBFBF" w:themeColor="background1" w:themeShade="BF"/>
        </w:rPr>
      </w:pPr>
      <w:r w:rsidRPr="00256F53">
        <w:rPr>
          <w:rFonts w:asciiTheme="minorHAnsi" w:hAnsiTheme="minorHAnsi"/>
          <w:color w:val="000000"/>
        </w:rPr>
        <w:t xml:space="preserve">This system is backed up with work </w:t>
      </w:r>
      <w:proofErr w:type="spellStart"/>
      <w:r w:rsidRPr="00256F53">
        <w:rPr>
          <w:rFonts w:asciiTheme="minorHAnsi" w:hAnsiTheme="minorHAnsi"/>
          <w:color w:val="000000"/>
        </w:rPr>
        <w:t>scrutinies</w:t>
      </w:r>
      <w:proofErr w:type="spellEnd"/>
      <w:r w:rsidRPr="00256F53">
        <w:rPr>
          <w:rFonts w:asciiTheme="minorHAnsi" w:hAnsiTheme="minorHAnsi"/>
          <w:color w:val="000000"/>
        </w:rPr>
        <w:t xml:space="preserve"> in school, across the hub, and across the MAT to ensure that teacher judgements are accurate and based on the new required standards.</w:t>
      </w:r>
    </w:p>
    <w:p w:rsidR="00256F53" w:rsidRDefault="00256F53" w:rsidP="00256F53">
      <w:pPr>
        <w:spacing w:after="0"/>
        <w:rPr>
          <w:sz w:val="24"/>
          <w:szCs w:val="24"/>
        </w:rPr>
      </w:pPr>
      <w:r w:rsidRPr="15D126B5">
        <w:rPr>
          <w:sz w:val="24"/>
          <w:szCs w:val="24"/>
        </w:rPr>
        <w:t xml:space="preserve">Current progress for PPM pupils in school is tracked and monitored closely. </w:t>
      </w:r>
    </w:p>
    <w:p w:rsidR="00256F53" w:rsidRDefault="00256F53" w:rsidP="00256F53">
      <w:pPr>
        <w:spacing w:after="0"/>
        <w:rPr>
          <w:sz w:val="24"/>
          <w:szCs w:val="24"/>
        </w:rPr>
      </w:pPr>
    </w:p>
    <w:p w:rsidR="00256F53" w:rsidRDefault="00256F53" w:rsidP="00256F53">
      <w:pPr>
        <w:spacing w:after="0"/>
        <w:rPr>
          <w:sz w:val="24"/>
          <w:szCs w:val="24"/>
        </w:rPr>
      </w:pPr>
      <w:r w:rsidRPr="15D126B5">
        <w:rPr>
          <w:sz w:val="24"/>
          <w:szCs w:val="24"/>
        </w:rPr>
        <w:t>Current progress of this group of pupils is faster than their peers, showing the impact of this additional support, and looks as follows:</w:t>
      </w:r>
    </w:p>
    <w:p w:rsidR="00256F53" w:rsidRDefault="00256F53" w:rsidP="00256F53">
      <w:pPr>
        <w:spacing w:after="0"/>
        <w:rPr>
          <w:sz w:val="24"/>
          <w:szCs w:val="24"/>
        </w:rPr>
      </w:pPr>
    </w:p>
    <w:tbl>
      <w:tblPr>
        <w:tblW w:w="6812" w:type="dxa"/>
        <w:tblInd w:w="1153" w:type="dxa"/>
        <w:tblLook w:val="04A0" w:firstRow="1" w:lastRow="0" w:firstColumn="1" w:lastColumn="0" w:noHBand="0" w:noVBand="1"/>
      </w:tblPr>
      <w:tblGrid>
        <w:gridCol w:w="960"/>
        <w:gridCol w:w="553"/>
        <w:gridCol w:w="1367"/>
        <w:gridCol w:w="553"/>
        <w:gridCol w:w="1367"/>
        <w:gridCol w:w="645"/>
        <w:gridCol w:w="1367"/>
      </w:tblGrid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Progress at April 2017 (4 pts expected)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Reading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50"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Writing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Maths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Non-PP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Non-PP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Non-PP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All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All KS2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All KS1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6.7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7.3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Y6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4.2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Y5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Y4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Y3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4.4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Y2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8.0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10.0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</w:tr>
      <w:tr w:rsidR="00256F53" w:rsidRPr="00555196" w:rsidTr="00A30E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F53" w:rsidRPr="00555196" w:rsidRDefault="00256F53" w:rsidP="00A30E96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 w:rsidRPr="15D126B5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  <w:t>Y1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F53" w:rsidRPr="00555196" w:rsidRDefault="00256F53" w:rsidP="00A30E96">
            <w:pPr>
              <w:spacing w:after="0" w:line="240" w:lineRule="auto"/>
              <w:jc w:val="center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4.7</w:t>
            </w:r>
          </w:p>
        </w:tc>
      </w:tr>
    </w:tbl>
    <w:p w:rsidR="00256F53" w:rsidRDefault="00256F53" w:rsidP="00256F53">
      <w:pPr>
        <w:spacing w:after="0" w:line="240" w:lineRule="auto"/>
        <w:jc w:val="center"/>
        <w:textAlignment w:val="baseline"/>
        <w:rPr>
          <w:sz w:val="24"/>
          <w:szCs w:val="24"/>
        </w:rPr>
      </w:pPr>
      <w:r w:rsidRPr="47725585">
        <w:rPr>
          <w:rFonts w:ascii="Calibri,Segoe UI,Times New Roma" w:eastAsia="Calibri,Segoe UI,Times New Roma" w:hAnsi="Calibri,Segoe UI,Times New Roma" w:cs="Calibri,Segoe UI,Times New Roma"/>
          <w:sz w:val="20"/>
          <w:szCs w:val="20"/>
          <w:lang w:eastAsia="en-GB"/>
        </w:rPr>
        <w:t> </w:t>
      </w:r>
    </w:p>
    <w:p w:rsidR="00DB723E" w:rsidRDefault="00DB723E" w:rsidP="002447EB"/>
    <w:p w:rsidR="00F1012D" w:rsidRDefault="00F1012D" w:rsidP="002447EB"/>
    <w:p w:rsidR="00F1012D" w:rsidRDefault="00F1012D" w:rsidP="002447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1417"/>
        <w:gridCol w:w="1932"/>
        <w:gridCol w:w="2888"/>
        <w:gridCol w:w="1762"/>
      </w:tblGrid>
      <w:tr w:rsidR="00DB723E" w:rsidTr="00BE55D8">
        <w:tc>
          <w:tcPr>
            <w:tcW w:w="13948" w:type="dxa"/>
            <w:gridSpan w:val="6"/>
            <w:shd w:val="clear" w:color="auto" w:fill="00B050"/>
          </w:tcPr>
          <w:p w:rsidR="00DB723E" w:rsidRDefault="00DB723E" w:rsidP="002447EB">
            <w:r>
              <w:lastRenderedPageBreak/>
              <w:t>PPG Action Plan</w:t>
            </w:r>
            <w:r w:rsidR="00256F53">
              <w:t xml:space="preserve"> 2016/17</w:t>
            </w:r>
          </w:p>
        </w:tc>
      </w:tr>
      <w:tr w:rsidR="00DB723E" w:rsidTr="00BE55D8">
        <w:tc>
          <w:tcPr>
            <w:tcW w:w="3397" w:type="dxa"/>
            <w:shd w:val="clear" w:color="auto" w:fill="92D050"/>
          </w:tcPr>
          <w:p w:rsidR="00DB723E" w:rsidRPr="00BE55D8" w:rsidRDefault="00BE55D8" w:rsidP="002447EB">
            <w:pPr>
              <w:rPr>
                <w:b/>
              </w:rPr>
            </w:pPr>
            <w:r w:rsidRPr="00BE55D8">
              <w:rPr>
                <w:b/>
              </w:rPr>
              <w:t>Identified Barrier to Learning</w:t>
            </w:r>
          </w:p>
        </w:tc>
        <w:tc>
          <w:tcPr>
            <w:tcW w:w="2552" w:type="dxa"/>
            <w:shd w:val="clear" w:color="auto" w:fill="92D050"/>
          </w:tcPr>
          <w:p w:rsidR="00DB723E" w:rsidRPr="00BE55D8" w:rsidRDefault="00BE55D8" w:rsidP="002447EB">
            <w:pPr>
              <w:rPr>
                <w:b/>
              </w:rPr>
            </w:pPr>
            <w:r w:rsidRPr="00BE55D8">
              <w:rPr>
                <w:b/>
              </w:rPr>
              <w:t>School Action</w:t>
            </w:r>
          </w:p>
        </w:tc>
        <w:tc>
          <w:tcPr>
            <w:tcW w:w="1417" w:type="dxa"/>
            <w:shd w:val="clear" w:color="auto" w:fill="92D050"/>
          </w:tcPr>
          <w:p w:rsidR="00DB723E" w:rsidRPr="00BE55D8" w:rsidRDefault="00BE55D8" w:rsidP="002447EB">
            <w:pPr>
              <w:rPr>
                <w:b/>
              </w:rPr>
            </w:pPr>
            <w:r w:rsidRPr="00BE55D8">
              <w:rPr>
                <w:b/>
              </w:rPr>
              <w:t>Cost</w:t>
            </w:r>
          </w:p>
        </w:tc>
        <w:tc>
          <w:tcPr>
            <w:tcW w:w="1932" w:type="dxa"/>
            <w:shd w:val="clear" w:color="auto" w:fill="92D050"/>
          </w:tcPr>
          <w:p w:rsidR="00DB723E" w:rsidRPr="00BE55D8" w:rsidRDefault="00BE55D8" w:rsidP="002447EB">
            <w:pPr>
              <w:rPr>
                <w:b/>
              </w:rPr>
            </w:pPr>
            <w:r w:rsidRPr="00BE55D8">
              <w:rPr>
                <w:b/>
              </w:rPr>
              <w:t>Identified pupils</w:t>
            </w:r>
          </w:p>
        </w:tc>
        <w:tc>
          <w:tcPr>
            <w:tcW w:w="2888" w:type="dxa"/>
            <w:shd w:val="clear" w:color="auto" w:fill="92D050"/>
          </w:tcPr>
          <w:p w:rsidR="00DB723E" w:rsidRPr="00BE55D8" w:rsidRDefault="00256F53" w:rsidP="002447EB">
            <w:pPr>
              <w:rPr>
                <w:b/>
              </w:rPr>
            </w:pPr>
            <w:r>
              <w:rPr>
                <w:b/>
              </w:rPr>
              <w:t>Evaluation 2015/16</w:t>
            </w:r>
          </w:p>
        </w:tc>
        <w:tc>
          <w:tcPr>
            <w:tcW w:w="1762" w:type="dxa"/>
            <w:shd w:val="clear" w:color="auto" w:fill="92D050"/>
          </w:tcPr>
          <w:p w:rsidR="00DB723E" w:rsidRPr="00BE55D8" w:rsidRDefault="00BE55D8" w:rsidP="002447EB">
            <w:pPr>
              <w:rPr>
                <w:b/>
              </w:rPr>
            </w:pPr>
            <w:r w:rsidRPr="00BE55D8">
              <w:rPr>
                <w:b/>
              </w:rPr>
              <w:t>Continued/ New</w:t>
            </w:r>
          </w:p>
        </w:tc>
      </w:tr>
      <w:tr w:rsidR="00BE55D8" w:rsidTr="00BE55D8">
        <w:tc>
          <w:tcPr>
            <w:tcW w:w="3397" w:type="dxa"/>
          </w:tcPr>
          <w:p w:rsidR="00BE55D8" w:rsidRDefault="00570ACC" w:rsidP="002447EB">
            <w:r>
              <w:t>Regular reading at home with an adult.</w:t>
            </w:r>
          </w:p>
        </w:tc>
        <w:tc>
          <w:tcPr>
            <w:tcW w:w="2552" w:type="dxa"/>
          </w:tcPr>
          <w:p w:rsidR="00BE55D8" w:rsidRDefault="00570ACC" w:rsidP="002447EB">
            <w:r>
              <w:t>Volunteer readers directed to hear PPM pupils on a regular/ daily basis.</w:t>
            </w:r>
          </w:p>
        </w:tc>
        <w:tc>
          <w:tcPr>
            <w:tcW w:w="1417" w:type="dxa"/>
          </w:tcPr>
          <w:p w:rsidR="00BE55D8" w:rsidRDefault="004857E2" w:rsidP="002447EB">
            <w:r>
              <w:t xml:space="preserve">£150 </w:t>
            </w:r>
          </w:p>
          <w:p w:rsidR="004857E2" w:rsidRDefault="004857E2" w:rsidP="002447EB">
            <w:r>
              <w:t>(training and support)</w:t>
            </w:r>
          </w:p>
        </w:tc>
        <w:tc>
          <w:tcPr>
            <w:tcW w:w="1932" w:type="dxa"/>
          </w:tcPr>
          <w:p w:rsidR="00BE55D8" w:rsidRDefault="00570ACC" w:rsidP="002447EB">
            <w:r>
              <w:t>All Year Groups</w:t>
            </w:r>
          </w:p>
        </w:tc>
        <w:tc>
          <w:tcPr>
            <w:tcW w:w="2888" w:type="dxa"/>
          </w:tcPr>
          <w:p w:rsidR="00BE55D8" w:rsidRDefault="00BE55D8" w:rsidP="002447EB"/>
        </w:tc>
        <w:tc>
          <w:tcPr>
            <w:tcW w:w="1762" w:type="dxa"/>
          </w:tcPr>
          <w:p w:rsidR="00BE55D8" w:rsidRDefault="00570ACC" w:rsidP="002447EB">
            <w:r>
              <w:t>New</w:t>
            </w:r>
          </w:p>
        </w:tc>
      </w:tr>
      <w:tr w:rsidR="00BE55D8" w:rsidTr="00BE55D8">
        <w:tc>
          <w:tcPr>
            <w:tcW w:w="3397" w:type="dxa"/>
          </w:tcPr>
          <w:p w:rsidR="00BE55D8" w:rsidRDefault="00570ACC" w:rsidP="002447EB">
            <w:r>
              <w:t>Keeping up with pace of learning in class.</w:t>
            </w:r>
          </w:p>
        </w:tc>
        <w:tc>
          <w:tcPr>
            <w:tcW w:w="2552" w:type="dxa"/>
          </w:tcPr>
          <w:p w:rsidR="00BE55D8" w:rsidRDefault="00570ACC" w:rsidP="002447EB">
            <w:r>
              <w:t>Pre-teach sessions in small groups.</w:t>
            </w:r>
          </w:p>
        </w:tc>
        <w:tc>
          <w:tcPr>
            <w:tcW w:w="1417" w:type="dxa"/>
          </w:tcPr>
          <w:p w:rsidR="00BE55D8" w:rsidRDefault="004857E2" w:rsidP="002447EB">
            <w:r>
              <w:t>£25,587</w:t>
            </w:r>
          </w:p>
        </w:tc>
        <w:tc>
          <w:tcPr>
            <w:tcW w:w="1932" w:type="dxa"/>
          </w:tcPr>
          <w:p w:rsidR="00BE55D8" w:rsidRDefault="00570ACC" w:rsidP="002447EB">
            <w:r>
              <w:t>KS2 Pupils</w:t>
            </w:r>
          </w:p>
        </w:tc>
        <w:tc>
          <w:tcPr>
            <w:tcW w:w="2888" w:type="dxa"/>
          </w:tcPr>
          <w:p w:rsidR="00BE55D8" w:rsidRDefault="004857E2" w:rsidP="002447EB">
            <w:r>
              <w:t xml:space="preserve">Whilst effective in supporting pupils in making good progress, it was felt that pupils missed out on some quality </w:t>
            </w:r>
            <w:r w:rsidR="00B02BEB">
              <w:t xml:space="preserve">whole class teaching. This will be updated </w:t>
            </w:r>
            <w:r w:rsidR="005F1E49">
              <w:t>this year to in class support detailed below.</w:t>
            </w:r>
          </w:p>
        </w:tc>
        <w:tc>
          <w:tcPr>
            <w:tcW w:w="1762" w:type="dxa"/>
          </w:tcPr>
          <w:p w:rsidR="00BE55D8" w:rsidRDefault="00F1012D" w:rsidP="002447EB">
            <w:r>
              <w:t>Dis-c</w:t>
            </w:r>
            <w:r w:rsidR="00570ACC">
              <w:t>ontinued</w:t>
            </w:r>
          </w:p>
        </w:tc>
      </w:tr>
      <w:tr w:rsidR="004857E2" w:rsidTr="00BE55D8">
        <w:tc>
          <w:tcPr>
            <w:tcW w:w="3397" w:type="dxa"/>
          </w:tcPr>
          <w:p w:rsidR="004857E2" w:rsidRDefault="004857E2" w:rsidP="002447EB">
            <w:r>
              <w:t>Keeping up with pace of learning in class.</w:t>
            </w:r>
          </w:p>
        </w:tc>
        <w:tc>
          <w:tcPr>
            <w:tcW w:w="2552" w:type="dxa"/>
          </w:tcPr>
          <w:p w:rsidR="004857E2" w:rsidRDefault="004857E2" w:rsidP="002447EB">
            <w:r>
              <w:t>In class, small group support from Deputy Headteacher and PPM support teacher.</w:t>
            </w:r>
          </w:p>
        </w:tc>
        <w:tc>
          <w:tcPr>
            <w:tcW w:w="1417" w:type="dxa"/>
          </w:tcPr>
          <w:p w:rsidR="004857E2" w:rsidRDefault="004857E2" w:rsidP="002447EB">
            <w:r>
              <w:t>£25,587</w:t>
            </w:r>
          </w:p>
        </w:tc>
        <w:tc>
          <w:tcPr>
            <w:tcW w:w="1932" w:type="dxa"/>
          </w:tcPr>
          <w:p w:rsidR="004857E2" w:rsidRDefault="004857E2" w:rsidP="002447EB">
            <w:r>
              <w:t>All pupils, identified groups</w:t>
            </w:r>
          </w:p>
        </w:tc>
        <w:tc>
          <w:tcPr>
            <w:tcW w:w="2888" w:type="dxa"/>
          </w:tcPr>
          <w:p w:rsidR="004857E2" w:rsidRDefault="005F1E49" w:rsidP="002447EB">
            <w:r>
              <w:t>Additional teaching resource provided to work alongside class teachers and identified pupils to secure progress and understanding in lessons.</w:t>
            </w:r>
          </w:p>
        </w:tc>
        <w:tc>
          <w:tcPr>
            <w:tcW w:w="1762" w:type="dxa"/>
          </w:tcPr>
          <w:p w:rsidR="004857E2" w:rsidRDefault="005F1E49" w:rsidP="002447EB">
            <w:r>
              <w:t>New</w:t>
            </w:r>
          </w:p>
        </w:tc>
      </w:tr>
      <w:tr w:rsidR="00BE55D8" w:rsidTr="00BE55D8">
        <w:tc>
          <w:tcPr>
            <w:tcW w:w="3397" w:type="dxa"/>
          </w:tcPr>
          <w:p w:rsidR="00BE55D8" w:rsidRDefault="00570ACC" w:rsidP="002447EB">
            <w:r>
              <w:t>High quality initial first teaching in maths.</w:t>
            </w:r>
          </w:p>
        </w:tc>
        <w:tc>
          <w:tcPr>
            <w:tcW w:w="2552" w:type="dxa"/>
          </w:tcPr>
          <w:p w:rsidR="00BE55D8" w:rsidRDefault="00570ACC" w:rsidP="002447EB">
            <w:r>
              <w:t>Whole staff training on Maths Mastery and expectations</w:t>
            </w:r>
          </w:p>
        </w:tc>
        <w:tc>
          <w:tcPr>
            <w:tcW w:w="1417" w:type="dxa"/>
          </w:tcPr>
          <w:p w:rsidR="00BE55D8" w:rsidRDefault="005F1E49" w:rsidP="002447EB">
            <w:r>
              <w:t>£500</w:t>
            </w:r>
          </w:p>
        </w:tc>
        <w:tc>
          <w:tcPr>
            <w:tcW w:w="1932" w:type="dxa"/>
          </w:tcPr>
          <w:p w:rsidR="00BE55D8" w:rsidRDefault="00570ACC" w:rsidP="002447EB">
            <w:r>
              <w:t>All Year Groups</w:t>
            </w:r>
          </w:p>
        </w:tc>
        <w:tc>
          <w:tcPr>
            <w:tcW w:w="2888" w:type="dxa"/>
          </w:tcPr>
          <w:p w:rsidR="00BE55D8" w:rsidRDefault="005F1E49" w:rsidP="002447EB">
            <w:r>
              <w:t>Staff training has been effective, and lesson observations show a good understanding of the mastery approach. This will continue this year to embed and enhance.</w:t>
            </w:r>
          </w:p>
        </w:tc>
        <w:tc>
          <w:tcPr>
            <w:tcW w:w="1762" w:type="dxa"/>
          </w:tcPr>
          <w:p w:rsidR="00BE55D8" w:rsidRDefault="00570ACC" w:rsidP="002447EB">
            <w:r>
              <w:t>Continued</w:t>
            </w:r>
          </w:p>
        </w:tc>
      </w:tr>
      <w:tr w:rsidR="00BE55D8" w:rsidTr="00BE55D8">
        <w:tc>
          <w:tcPr>
            <w:tcW w:w="3397" w:type="dxa"/>
          </w:tcPr>
          <w:p w:rsidR="00BE55D8" w:rsidRDefault="00570ACC" w:rsidP="002447EB">
            <w:r>
              <w:t>Cost restrictive in taking part in some school extra-curricular activities, therefore lacking in development of the whole child.</w:t>
            </w:r>
          </w:p>
        </w:tc>
        <w:tc>
          <w:tcPr>
            <w:tcW w:w="2552" w:type="dxa"/>
          </w:tcPr>
          <w:p w:rsidR="00BE55D8" w:rsidRDefault="00570ACC" w:rsidP="002447EB">
            <w:r>
              <w:t>Financial support for school trips and visits.</w:t>
            </w:r>
          </w:p>
        </w:tc>
        <w:tc>
          <w:tcPr>
            <w:tcW w:w="1417" w:type="dxa"/>
          </w:tcPr>
          <w:p w:rsidR="00BE55D8" w:rsidRDefault="00F1012D" w:rsidP="002447EB">
            <w:r>
              <w:t>£500</w:t>
            </w:r>
          </w:p>
        </w:tc>
        <w:tc>
          <w:tcPr>
            <w:tcW w:w="1932" w:type="dxa"/>
          </w:tcPr>
          <w:p w:rsidR="00BE55D8" w:rsidRDefault="00570ACC" w:rsidP="002447EB">
            <w:r>
              <w:t>All Year groups</w:t>
            </w:r>
          </w:p>
        </w:tc>
        <w:tc>
          <w:tcPr>
            <w:tcW w:w="2888" w:type="dxa"/>
          </w:tcPr>
          <w:p w:rsidR="00BE55D8" w:rsidRDefault="00570ACC" w:rsidP="005F1E49">
            <w:r>
              <w:t xml:space="preserve">Relatively little impact </w:t>
            </w:r>
            <w:r w:rsidR="00933FF2">
              <w:t xml:space="preserve">on academic achievement and so </w:t>
            </w:r>
            <w:r w:rsidR="005F1E49">
              <w:t>no longer taken from PPM grant.</w:t>
            </w:r>
          </w:p>
        </w:tc>
        <w:tc>
          <w:tcPr>
            <w:tcW w:w="1762" w:type="dxa"/>
          </w:tcPr>
          <w:p w:rsidR="00BE55D8" w:rsidRDefault="00570ACC" w:rsidP="002447EB">
            <w:r>
              <w:t>Reduced</w:t>
            </w:r>
          </w:p>
        </w:tc>
      </w:tr>
      <w:tr w:rsidR="00570ACC" w:rsidTr="00BE55D8">
        <w:tc>
          <w:tcPr>
            <w:tcW w:w="3397" w:type="dxa"/>
          </w:tcPr>
          <w:p w:rsidR="00570ACC" w:rsidRDefault="00933FF2" w:rsidP="002447EB">
            <w:r>
              <w:t>Struggling to focus in whole class environment</w:t>
            </w:r>
            <w:r w:rsidR="005F1E49">
              <w:t>.</w:t>
            </w:r>
          </w:p>
        </w:tc>
        <w:tc>
          <w:tcPr>
            <w:tcW w:w="2552" w:type="dxa"/>
          </w:tcPr>
          <w:p w:rsidR="00570ACC" w:rsidRDefault="00B02BEB" w:rsidP="002447EB">
            <w:proofErr w:type="spellStart"/>
            <w:r>
              <w:t>CiC</w:t>
            </w:r>
            <w:proofErr w:type="spellEnd"/>
            <w:r>
              <w:t xml:space="preserve"> teacher taking our pupils for </w:t>
            </w:r>
            <w:r w:rsidR="00933FF2">
              <w:t>1-1 teaching support</w:t>
            </w:r>
            <w:r>
              <w:t>.</w:t>
            </w:r>
          </w:p>
        </w:tc>
        <w:tc>
          <w:tcPr>
            <w:tcW w:w="1417" w:type="dxa"/>
          </w:tcPr>
          <w:p w:rsidR="00570ACC" w:rsidRDefault="00B02BEB" w:rsidP="002447EB">
            <w:r>
              <w:t>£2800</w:t>
            </w:r>
          </w:p>
        </w:tc>
        <w:tc>
          <w:tcPr>
            <w:tcW w:w="1932" w:type="dxa"/>
          </w:tcPr>
          <w:p w:rsidR="00570ACC" w:rsidRDefault="00B02BEB" w:rsidP="002447EB">
            <w:r>
              <w:t>LAC Pupils</w:t>
            </w:r>
          </w:p>
        </w:tc>
        <w:tc>
          <w:tcPr>
            <w:tcW w:w="2888" w:type="dxa"/>
          </w:tcPr>
          <w:p w:rsidR="00570ACC" w:rsidRDefault="00B02BEB" w:rsidP="002447EB">
            <w:r>
              <w:t xml:space="preserve">Whilst support was effective in securing progress for pupils. Feedback from them </w:t>
            </w:r>
            <w:r>
              <w:lastRenderedPageBreak/>
              <w:t>reflected a negative feeling to be being removed from class.</w:t>
            </w:r>
          </w:p>
        </w:tc>
        <w:tc>
          <w:tcPr>
            <w:tcW w:w="1762" w:type="dxa"/>
          </w:tcPr>
          <w:p w:rsidR="00570ACC" w:rsidRDefault="00206B90" w:rsidP="002447EB">
            <w:r>
              <w:lastRenderedPageBreak/>
              <w:t>C</w:t>
            </w:r>
            <w:r w:rsidR="00933FF2">
              <w:t>ontinued</w:t>
            </w:r>
          </w:p>
        </w:tc>
      </w:tr>
      <w:tr w:rsidR="00570ACC" w:rsidTr="00BE55D8">
        <w:tc>
          <w:tcPr>
            <w:tcW w:w="3397" w:type="dxa"/>
          </w:tcPr>
          <w:p w:rsidR="00570ACC" w:rsidRDefault="00F1012D" w:rsidP="002447EB">
            <w:r>
              <w:lastRenderedPageBreak/>
              <w:t>Pupils falling behind academically over the summer break.</w:t>
            </w:r>
          </w:p>
        </w:tc>
        <w:tc>
          <w:tcPr>
            <w:tcW w:w="2552" w:type="dxa"/>
          </w:tcPr>
          <w:p w:rsidR="00570ACC" w:rsidRDefault="00933FF2" w:rsidP="002447EB">
            <w:r>
              <w:t>After school/ holiday 1-1 tuition.</w:t>
            </w:r>
          </w:p>
        </w:tc>
        <w:tc>
          <w:tcPr>
            <w:tcW w:w="1417" w:type="dxa"/>
          </w:tcPr>
          <w:p w:rsidR="00570ACC" w:rsidRDefault="004857E2" w:rsidP="002447EB">
            <w:r>
              <w:t>£450</w:t>
            </w:r>
          </w:p>
        </w:tc>
        <w:tc>
          <w:tcPr>
            <w:tcW w:w="1932" w:type="dxa"/>
          </w:tcPr>
          <w:p w:rsidR="00570ACC" w:rsidRDefault="00933FF2" w:rsidP="002447EB">
            <w:r>
              <w:t>LAC pupils</w:t>
            </w:r>
          </w:p>
        </w:tc>
        <w:tc>
          <w:tcPr>
            <w:tcW w:w="2888" w:type="dxa"/>
          </w:tcPr>
          <w:p w:rsidR="00570ACC" w:rsidRDefault="004857E2" w:rsidP="002447EB">
            <w:r>
              <w:t>Effective support over the summer holiday. To be continued through term time, rather than withdrawal from class for 1-1</w:t>
            </w:r>
          </w:p>
        </w:tc>
        <w:tc>
          <w:tcPr>
            <w:tcW w:w="1762" w:type="dxa"/>
          </w:tcPr>
          <w:p w:rsidR="00570ACC" w:rsidRDefault="00933FF2" w:rsidP="002447EB">
            <w:r>
              <w:t>New</w:t>
            </w:r>
          </w:p>
        </w:tc>
      </w:tr>
      <w:tr w:rsidR="004857E2" w:rsidTr="00BE55D8">
        <w:tc>
          <w:tcPr>
            <w:tcW w:w="3397" w:type="dxa"/>
          </w:tcPr>
          <w:p w:rsidR="004857E2" w:rsidRDefault="005F1E49" w:rsidP="002447EB">
            <w:r>
              <w:t>Struggling to focus in whole class environment.</w:t>
            </w:r>
          </w:p>
        </w:tc>
        <w:tc>
          <w:tcPr>
            <w:tcW w:w="2552" w:type="dxa"/>
          </w:tcPr>
          <w:p w:rsidR="004857E2" w:rsidRDefault="004857E2" w:rsidP="002447EB">
            <w:r>
              <w:t>After school 1-1 tuition</w:t>
            </w:r>
          </w:p>
        </w:tc>
        <w:tc>
          <w:tcPr>
            <w:tcW w:w="1417" w:type="dxa"/>
          </w:tcPr>
          <w:p w:rsidR="004857E2" w:rsidRDefault="005F1E49" w:rsidP="002447EB">
            <w:r>
              <w:t>£30</w:t>
            </w:r>
            <w:r w:rsidR="004857E2">
              <w:t>00</w:t>
            </w:r>
          </w:p>
        </w:tc>
        <w:tc>
          <w:tcPr>
            <w:tcW w:w="1932" w:type="dxa"/>
          </w:tcPr>
          <w:p w:rsidR="004857E2" w:rsidRDefault="004857E2" w:rsidP="002447EB">
            <w:r>
              <w:t>LAC Pupils</w:t>
            </w:r>
          </w:p>
        </w:tc>
        <w:tc>
          <w:tcPr>
            <w:tcW w:w="2888" w:type="dxa"/>
          </w:tcPr>
          <w:p w:rsidR="004857E2" w:rsidRDefault="005F1E49" w:rsidP="002447EB">
            <w:r>
              <w:t>Support to be continued in term time. Close liaison with tutor to ensure pre-teach and post teach support.</w:t>
            </w:r>
          </w:p>
        </w:tc>
        <w:tc>
          <w:tcPr>
            <w:tcW w:w="1762" w:type="dxa"/>
          </w:tcPr>
          <w:p w:rsidR="004857E2" w:rsidRDefault="004857E2" w:rsidP="002447EB">
            <w:r>
              <w:t>New</w:t>
            </w:r>
          </w:p>
        </w:tc>
      </w:tr>
      <w:tr w:rsidR="00180EEE" w:rsidTr="00BE55D8">
        <w:tc>
          <w:tcPr>
            <w:tcW w:w="3397" w:type="dxa"/>
          </w:tcPr>
          <w:p w:rsidR="00180EEE" w:rsidRDefault="00180EEE" w:rsidP="00180EEE">
            <w:proofErr w:type="spellStart"/>
            <w:r>
              <w:t>CiC</w:t>
            </w:r>
            <w:proofErr w:type="spellEnd"/>
            <w:r>
              <w:t xml:space="preserve"> teacher keeping up to date with latest training and research</w:t>
            </w:r>
          </w:p>
        </w:tc>
        <w:tc>
          <w:tcPr>
            <w:tcW w:w="2552" w:type="dxa"/>
          </w:tcPr>
          <w:p w:rsidR="00180EEE" w:rsidRDefault="00180EEE" w:rsidP="002447EB">
            <w:r>
              <w:t xml:space="preserve">Attending </w:t>
            </w:r>
            <w:proofErr w:type="spellStart"/>
            <w:r>
              <w:t>CiC</w:t>
            </w:r>
            <w:proofErr w:type="spellEnd"/>
            <w:r>
              <w:t xml:space="preserve"> updates and training packages</w:t>
            </w:r>
          </w:p>
        </w:tc>
        <w:tc>
          <w:tcPr>
            <w:tcW w:w="1417" w:type="dxa"/>
          </w:tcPr>
          <w:p w:rsidR="00180EEE" w:rsidRDefault="00180EEE" w:rsidP="002447EB">
            <w:r>
              <w:t>£500</w:t>
            </w:r>
          </w:p>
        </w:tc>
        <w:tc>
          <w:tcPr>
            <w:tcW w:w="1932" w:type="dxa"/>
          </w:tcPr>
          <w:p w:rsidR="00180EEE" w:rsidRDefault="00180EEE" w:rsidP="002447EB">
            <w:r>
              <w:t>All Pupils</w:t>
            </w:r>
          </w:p>
        </w:tc>
        <w:tc>
          <w:tcPr>
            <w:tcW w:w="2888" w:type="dxa"/>
          </w:tcPr>
          <w:p w:rsidR="00180EEE" w:rsidRDefault="00180EEE" w:rsidP="002447EB">
            <w:r>
              <w:t>High quality support and guidance offered to pupils and parents</w:t>
            </w:r>
          </w:p>
        </w:tc>
        <w:tc>
          <w:tcPr>
            <w:tcW w:w="1762" w:type="dxa"/>
          </w:tcPr>
          <w:p w:rsidR="00180EEE" w:rsidRDefault="00180EEE" w:rsidP="002447EB">
            <w:r>
              <w:t>Continued</w:t>
            </w:r>
          </w:p>
        </w:tc>
      </w:tr>
    </w:tbl>
    <w:p w:rsidR="00DB723E" w:rsidRPr="002447EB" w:rsidRDefault="00DB723E" w:rsidP="002447EB"/>
    <w:sectPr w:rsidR="00DB723E" w:rsidRPr="002447EB" w:rsidSect="00244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EB"/>
    <w:rsid w:val="00067199"/>
    <w:rsid w:val="00076F9E"/>
    <w:rsid w:val="000E2D73"/>
    <w:rsid w:val="001066EF"/>
    <w:rsid w:val="00135A91"/>
    <w:rsid w:val="00143868"/>
    <w:rsid w:val="00180EEE"/>
    <w:rsid w:val="00206AE7"/>
    <w:rsid w:val="00206B90"/>
    <w:rsid w:val="002447EB"/>
    <w:rsid w:val="00256F53"/>
    <w:rsid w:val="002619C4"/>
    <w:rsid w:val="002F298C"/>
    <w:rsid w:val="00343C43"/>
    <w:rsid w:val="00364388"/>
    <w:rsid w:val="00454D33"/>
    <w:rsid w:val="004857E2"/>
    <w:rsid w:val="00570ACC"/>
    <w:rsid w:val="00584757"/>
    <w:rsid w:val="00594255"/>
    <w:rsid w:val="005F1E49"/>
    <w:rsid w:val="005F5DB9"/>
    <w:rsid w:val="0068790A"/>
    <w:rsid w:val="00735F3E"/>
    <w:rsid w:val="007634C6"/>
    <w:rsid w:val="00815F2E"/>
    <w:rsid w:val="0087709B"/>
    <w:rsid w:val="008E5FCB"/>
    <w:rsid w:val="00933FF2"/>
    <w:rsid w:val="00944461"/>
    <w:rsid w:val="00975AA5"/>
    <w:rsid w:val="009D50B1"/>
    <w:rsid w:val="00A56923"/>
    <w:rsid w:val="00A56A16"/>
    <w:rsid w:val="00A754C1"/>
    <w:rsid w:val="00AC00CC"/>
    <w:rsid w:val="00AD13B2"/>
    <w:rsid w:val="00B02BEB"/>
    <w:rsid w:val="00BE55D8"/>
    <w:rsid w:val="00C056FB"/>
    <w:rsid w:val="00C62535"/>
    <w:rsid w:val="00C82B60"/>
    <w:rsid w:val="00CC2F4B"/>
    <w:rsid w:val="00DB723E"/>
    <w:rsid w:val="00DF68FE"/>
    <w:rsid w:val="00E80BEB"/>
    <w:rsid w:val="00F00A6E"/>
    <w:rsid w:val="00F1012D"/>
    <w:rsid w:val="00F9655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1F8CC-EE9E-4E2F-9EDD-8AAF0AFD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Banks</dc:creator>
  <cp:keywords/>
  <dc:description/>
  <cp:lastModifiedBy>Phil Banks</cp:lastModifiedBy>
  <cp:revision>2</cp:revision>
  <cp:lastPrinted>2016-09-20T13:11:00Z</cp:lastPrinted>
  <dcterms:created xsi:type="dcterms:W3CDTF">2017-05-15T06:07:00Z</dcterms:created>
  <dcterms:modified xsi:type="dcterms:W3CDTF">2017-05-15T06:07:00Z</dcterms:modified>
</cp:coreProperties>
</file>